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360" w:lineRule="auto"/>
        <w:ind w:left="150" w:right="150"/>
        <w:jc w:val="center"/>
        <w:rPr>
          <w:sz w:val="40"/>
          <w:szCs w:val="28"/>
        </w:rPr>
      </w:pPr>
      <w:bookmarkStart w:id="0" w:name="_GoBack"/>
      <w:bookmarkEnd w:id="0"/>
      <w:r>
        <w:rPr>
          <w:rFonts w:hint="eastAsia" w:ascii="宋体" w:hAnsi="宋体" w:eastAsia="宋体"/>
          <w:b/>
          <w:color w:val="0D0D0D"/>
          <w:kern w:val="2"/>
          <w:sz w:val="40"/>
          <w:szCs w:val="28"/>
        </w:rPr>
        <w:t>2017年申报国家科技进步奖公示材料</w:t>
      </w:r>
    </w:p>
    <w:p>
      <w:pPr>
        <w:pStyle w:val="4"/>
        <w:widowControl/>
        <w:spacing w:beforeAutospacing="0" w:afterAutospacing="0" w:line="360" w:lineRule="auto"/>
        <w:ind w:left="150" w:right="150"/>
        <w:jc w:val="center"/>
        <w:rPr>
          <w:sz w:val="40"/>
          <w:szCs w:val="28"/>
        </w:rPr>
      </w:pPr>
      <w:r>
        <w:rPr>
          <w:rFonts w:hint="eastAsia" w:ascii="宋体" w:hAnsi="宋体" w:eastAsia="宋体" w:cs="宋体"/>
          <w:b/>
          <w:color w:val="0D0D0D"/>
          <w:kern w:val="2"/>
          <w:sz w:val="40"/>
          <w:szCs w:val="28"/>
        </w:rPr>
        <w:t>推荐单位</w:t>
      </w:r>
      <w:r>
        <w:rPr>
          <w:rFonts w:hint="eastAsia" w:ascii="宋体" w:hAnsi="宋体" w:eastAsia="宋体"/>
          <w:b/>
          <w:color w:val="0D0D0D"/>
          <w:kern w:val="2"/>
          <w:sz w:val="40"/>
          <w:szCs w:val="28"/>
        </w:rPr>
        <w:t>:国家文物局</w:t>
      </w:r>
    </w:p>
    <w:p>
      <w:pPr>
        <w:pStyle w:val="4"/>
        <w:widowControl/>
        <w:spacing w:beforeAutospacing="0" w:afterAutospacing="0" w:line="360" w:lineRule="auto"/>
        <w:ind w:left="150" w:right="150"/>
        <w:jc w:val="center"/>
        <w:rPr>
          <w:sz w:val="28"/>
          <w:szCs w:val="21"/>
        </w:rPr>
      </w:pPr>
    </w:p>
    <w:p>
      <w:pPr>
        <w:pStyle w:val="4"/>
        <w:widowControl/>
        <w:spacing w:beforeAutospacing="0" w:afterAutospacing="0" w:line="360" w:lineRule="auto"/>
        <w:ind w:left="150" w:right="150"/>
        <w:rPr>
          <w:rFonts w:ascii="宋体" w:hAnsi="宋体" w:eastAsia="宋体" w:cstheme="minorBidi"/>
          <w:b/>
          <w:kern w:val="2"/>
          <w:sz w:val="28"/>
          <w:szCs w:val="21"/>
        </w:rPr>
      </w:pPr>
      <w:r>
        <w:rPr>
          <w:rFonts w:hint="eastAsia" w:ascii="宋体" w:hAnsi="宋体" w:eastAsia="宋体" w:cstheme="minorBidi"/>
          <w:b/>
          <w:kern w:val="2"/>
          <w:sz w:val="28"/>
          <w:szCs w:val="21"/>
        </w:rPr>
        <w:t>一、 项目名称</w:t>
      </w:r>
    </w:p>
    <w:p>
      <w:pPr>
        <w:pStyle w:val="4"/>
        <w:widowControl/>
        <w:spacing w:beforeAutospacing="0" w:afterAutospacing="0" w:line="360" w:lineRule="auto"/>
        <w:ind w:left="150" w:right="150"/>
        <w:rPr>
          <w:rFonts w:ascii="宋体" w:hAnsi="宋体" w:eastAsia="宋体" w:cstheme="minorBidi"/>
          <w:kern w:val="2"/>
          <w:sz w:val="28"/>
          <w:szCs w:val="21"/>
        </w:rPr>
      </w:pPr>
      <w:r>
        <w:rPr>
          <w:rFonts w:hint="eastAsia" w:ascii="宋体" w:hAnsi="宋体" w:eastAsia="宋体" w:cs="宋体"/>
          <w:color w:val="000000"/>
          <w:sz w:val="40"/>
          <w:szCs w:val="28"/>
        </w:rPr>
        <w:t xml:space="preserve">   </w:t>
      </w:r>
      <w:r>
        <w:rPr>
          <w:rFonts w:hint="eastAsia" w:ascii="宋体" w:hAnsi="宋体" w:eastAsia="宋体" w:cstheme="minorBidi"/>
          <w:kern w:val="2"/>
          <w:sz w:val="28"/>
          <w:szCs w:val="21"/>
        </w:rPr>
        <w:t>考古发掘现场脆弱文物新型临时固型保护技术及应用</w:t>
      </w:r>
    </w:p>
    <w:p>
      <w:pPr>
        <w:pStyle w:val="4"/>
        <w:widowControl/>
        <w:spacing w:beforeAutospacing="0" w:afterAutospacing="0" w:line="360" w:lineRule="auto"/>
        <w:ind w:left="150" w:right="150"/>
        <w:rPr>
          <w:rFonts w:ascii="宋体" w:hAnsi="宋体" w:eastAsia="宋体" w:cstheme="minorBidi"/>
          <w:b/>
          <w:kern w:val="2"/>
          <w:sz w:val="28"/>
          <w:szCs w:val="21"/>
        </w:rPr>
      </w:pPr>
      <w:r>
        <w:rPr>
          <w:rFonts w:hint="eastAsia" w:ascii="宋体" w:hAnsi="宋体" w:eastAsia="宋体" w:cstheme="minorBidi"/>
          <w:b/>
          <w:kern w:val="2"/>
          <w:sz w:val="28"/>
          <w:szCs w:val="21"/>
        </w:rPr>
        <w:t>二、 项目简介</w:t>
      </w:r>
    </w:p>
    <w:p>
      <w:pPr>
        <w:spacing w:line="360" w:lineRule="auto"/>
        <w:ind w:firstLine="568" w:firstLineChars="203"/>
        <w:rPr>
          <w:rFonts w:ascii="宋体" w:hAnsi="宋体" w:eastAsia="宋体"/>
          <w:sz w:val="28"/>
          <w:szCs w:val="21"/>
        </w:rPr>
      </w:pPr>
      <w:r>
        <w:rPr>
          <w:rFonts w:hint="eastAsia" w:ascii="宋体" w:hAnsi="宋体" w:eastAsia="宋体"/>
          <w:sz w:val="28"/>
          <w:szCs w:val="21"/>
        </w:rPr>
        <w:t>本项目来源于“十二五”国家科技支撑计划及国家重点基础研究发展计划等重点课题。</w:t>
      </w:r>
    </w:p>
    <w:p>
      <w:pPr>
        <w:spacing w:line="360" w:lineRule="auto"/>
        <w:ind w:firstLine="568" w:firstLineChars="203"/>
        <w:rPr>
          <w:rFonts w:ascii="宋体" w:hAnsi="宋体" w:eastAsia="宋体"/>
          <w:sz w:val="28"/>
          <w:szCs w:val="21"/>
        </w:rPr>
      </w:pPr>
      <w:r>
        <w:rPr>
          <w:rFonts w:hint="eastAsia" w:ascii="宋体" w:hAnsi="宋体" w:eastAsia="宋体"/>
          <w:sz w:val="28"/>
          <w:szCs w:val="21"/>
        </w:rPr>
        <w:t>考古发掘现场脆弱文物与遗迹众多，将其完整、安全、有效地提取到实验室进行永久保护,不但是考古发掘现场第一保护亟待解决的问题，也是濒危文物抢救、中华文化保护的重大需求和任务。</w:t>
      </w:r>
    </w:p>
    <w:p>
      <w:pPr>
        <w:spacing w:line="360" w:lineRule="auto"/>
        <w:ind w:firstLine="568" w:firstLineChars="203"/>
        <w:rPr>
          <w:rFonts w:ascii="宋体" w:hAnsi="宋体" w:eastAsia="宋体"/>
          <w:sz w:val="28"/>
          <w:szCs w:val="21"/>
        </w:rPr>
      </w:pPr>
      <w:r>
        <w:rPr>
          <w:rFonts w:hint="eastAsia" w:ascii="宋体" w:hAnsi="宋体" w:eastAsia="宋体"/>
          <w:sz w:val="28"/>
          <w:szCs w:val="21"/>
        </w:rPr>
        <w:t>针对考古发掘现场脆弱文物与遗迹第一保护存在的瓶颈问题，依据临时加固材料提取的特殊要求以及国内外文献资料调研结果，本项目首次提出了适合脆弱文物临时加固的可控去除材料的设计与遴选原则，系统开发了考古发掘现场微环境控制技术，在多种拟用材料加固实验研究的基础上，确定以薄荷醇作为可控去除的临时加固目标材料进行后续深入研究。在确定目标材料的基础上，本项目深入探索了多种形态的薄荷醇及其衍生物在提取文物方面的可行性、安全性及可控去除性，研究了脆弱文物临时加固提取技术、加固材料可控去除技术、加固材料对文物、环境、人体的安全性评价等，优化确定了临时加固提取工艺技术与标准，获得了多项国内外领先的创新性研究成果，并积极地将科研成果推广应用于近50处多种不同材质脆弱文物及遗迹的提取与保护实践中，获得了文保单位的广泛好评，为</w:t>
      </w:r>
      <w:r>
        <w:rPr>
          <w:rFonts w:hint="eastAsia" w:ascii="宋体" w:hAnsi="宋体" w:eastAsia="宋体"/>
          <w:bCs/>
          <w:sz w:val="28"/>
          <w:szCs w:val="21"/>
        </w:rPr>
        <w:t>考古发掘现场文物及遗迹的临时加固提取及后续的有效保护奠定了良好的基础，大大缩短了脆弱文物的提取速度，缓解了环境敏感性文物因长时间暴露于环境中产生的破坏，减少了传统方法（石膏提取等方法）提取文物时对文物的污染与损坏，有助于文物临时加固提取技术由从被动的抢救性应急保护向主动的预防性科技保护转变</w:t>
      </w:r>
      <w:r>
        <w:rPr>
          <w:rFonts w:hint="eastAsia" w:ascii="宋体" w:hAnsi="宋体" w:eastAsia="宋体"/>
          <w:sz w:val="28"/>
          <w:szCs w:val="21"/>
        </w:rPr>
        <w:t>，大大提升了我国考古发掘现场文物保护的科学技术水平，为我国考古发掘现场脆弱文物的保护提供了强有力的科学技术支撑。</w:t>
      </w:r>
    </w:p>
    <w:p>
      <w:pPr>
        <w:pStyle w:val="4"/>
        <w:widowControl/>
        <w:spacing w:beforeAutospacing="0" w:afterAutospacing="0" w:line="360" w:lineRule="auto"/>
        <w:ind w:right="150" w:firstLine="560"/>
        <w:rPr>
          <w:rFonts w:ascii="宋体" w:hAnsi="宋体" w:eastAsia="宋体" w:cs="宋体"/>
          <w:sz w:val="28"/>
          <w:szCs w:val="21"/>
        </w:rPr>
      </w:pPr>
      <w:r>
        <w:rPr>
          <w:rFonts w:hint="eastAsia" w:ascii="宋体" w:hAnsi="宋体" w:eastAsia="宋体" w:cs="宋体"/>
          <w:sz w:val="28"/>
          <w:szCs w:val="21"/>
        </w:rPr>
        <w:t>本项目已获发明专利授权4项，申报受理6项，研究编制国家标准1项及行业标准草案4项，发表论文14篇，出版著作1部。获国家文物局科技创新一等奖1项。培养了一支跨单位、跨学科、优势互补的联合研究团队。</w:t>
      </w:r>
    </w:p>
    <w:p>
      <w:pPr>
        <w:spacing w:line="360" w:lineRule="auto"/>
        <w:rPr>
          <w:rFonts w:ascii="宋体" w:hAnsi="宋体" w:eastAsia="宋体"/>
          <w:b/>
          <w:sz w:val="28"/>
          <w:szCs w:val="21"/>
        </w:rPr>
      </w:pPr>
    </w:p>
    <w:p>
      <w:pPr>
        <w:spacing w:line="360" w:lineRule="auto"/>
        <w:rPr>
          <w:rFonts w:ascii="宋体" w:hAnsi="宋体" w:eastAsia="宋体"/>
          <w:b/>
          <w:sz w:val="28"/>
          <w:szCs w:val="21"/>
        </w:rPr>
      </w:pPr>
      <w:r>
        <w:rPr>
          <w:rFonts w:hint="eastAsia" w:ascii="宋体" w:hAnsi="宋体" w:eastAsia="宋体"/>
          <w:b/>
          <w:sz w:val="28"/>
          <w:szCs w:val="21"/>
        </w:rPr>
        <w:t>三、项目研究内容</w:t>
      </w:r>
    </w:p>
    <w:p>
      <w:pPr>
        <w:pStyle w:val="7"/>
        <w:numPr>
          <w:ilvl w:val="0"/>
          <w:numId w:val="1"/>
        </w:numPr>
        <w:spacing w:line="276" w:lineRule="auto"/>
        <w:rPr>
          <w:rFonts w:hAnsi="宋体" w:cs="Times New Roman"/>
          <w:b/>
          <w:kern w:val="15"/>
          <w:sz w:val="28"/>
          <w:szCs w:val="28"/>
        </w:rPr>
      </w:pPr>
      <w:r>
        <w:rPr>
          <w:rFonts w:hint="eastAsia" w:hAnsi="宋体" w:cs="Times New Roman"/>
          <w:b/>
          <w:kern w:val="15"/>
          <w:sz w:val="28"/>
          <w:szCs w:val="28"/>
        </w:rPr>
        <w:t>可控去除临时固型材料的设计与遴选原则</w:t>
      </w:r>
    </w:p>
    <w:p>
      <w:pPr>
        <w:pStyle w:val="7"/>
        <w:spacing w:line="276" w:lineRule="auto"/>
        <w:ind w:firstLine="560" w:firstLineChars="200"/>
        <w:rPr>
          <w:rFonts w:hAnsi="宋体" w:cstheme="minorBidi"/>
          <w:color w:val="auto"/>
          <w:kern w:val="2"/>
          <w:sz w:val="28"/>
          <w:szCs w:val="21"/>
        </w:rPr>
      </w:pPr>
      <w:r>
        <w:rPr>
          <w:rFonts w:hint="eastAsia" w:hAnsi="宋体" w:cstheme="minorBidi"/>
          <w:color w:val="auto"/>
          <w:kern w:val="2"/>
          <w:sz w:val="28"/>
          <w:szCs w:val="21"/>
        </w:rPr>
        <w:t>针对临时加固和可控去除技术对提取材料的有效性、安全性及可控去除性的要求以及被提取脆弱文物的特点，在国内外文献调研的基础上，率先提出了可控去除临时固型材料的设计与遴选原则：</w:t>
      </w:r>
    </w:p>
    <w:p>
      <w:pPr>
        <w:pStyle w:val="7"/>
        <w:numPr>
          <w:ilvl w:val="0"/>
          <w:numId w:val="2"/>
        </w:numPr>
        <w:spacing w:line="276" w:lineRule="auto"/>
        <w:rPr>
          <w:rFonts w:hAnsi="宋体" w:cstheme="minorBidi"/>
          <w:color w:val="auto"/>
          <w:kern w:val="2"/>
          <w:sz w:val="28"/>
          <w:szCs w:val="21"/>
        </w:rPr>
      </w:pPr>
      <w:r>
        <w:rPr>
          <w:rFonts w:hint="eastAsia" w:hAnsi="宋体" w:cstheme="minorBidi"/>
          <w:color w:val="auto"/>
          <w:kern w:val="2"/>
          <w:sz w:val="28"/>
          <w:szCs w:val="21"/>
        </w:rPr>
        <w:t>材料应具有较低的融化温度，且在常温下可以固化；融化形成的融液-结晶固化-升华过程所产生的体积变化越小越好；</w:t>
      </w:r>
    </w:p>
    <w:p>
      <w:pPr>
        <w:pStyle w:val="7"/>
        <w:numPr>
          <w:ilvl w:val="0"/>
          <w:numId w:val="2"/>
        </w:numPr>
        <w:spacing w:line="276" w:lineRule="auto"/>
        <w:rPr>
          <w:rFonts w:hAnsi="宋体" w:cstheme="minorBidi"/>
          <w:color w:val="auto"/>
          <w:kern w:val="2"/>
          <w:sz w:val="28"/>
          <w:szCs w:val="21"/>
        </w:rPr>
      </w:pPr>
      <w:r>
        <w:rPr>
          <w:rFonts w:hint="eastAsia" w:hAnsi="宋体" w:cstheme="minorBidi"/>
          <w:color w:val="auto"/>
          <w:kern w:val="2"/>
          <w:sz w:val="28"/>
          <w:szCs w:val="21"/>
        </w:rPr>
        <w:t>材料融化后形成的融液以及加入溶剂后形成的溶液，应具有较好的流动性，且对不同材质的文物应具有良好的润湿性及渗透性。同时，也应具有一定的亲水性；</w:t>
      </w:r>
      <w:r>
        <w:rPr>
          <w:rFonts w:hAnsi="宋体" w:cstheme="minorBidi"/>
          <w:color w:val="auto"/>
          <w:kern w:val="2"/>
          <w:sz w:val="28"/>
          <w:szCs w:val="21"/>
        </w:rPr>
        <w:t xml:space="preserve"> </w:t>
      </w:r>
    </w:p>
    <w:p>
      <w:pPr>
        <w:pStyle w:val="7"/>
        <w:numPr>
          <w:ilvl w:val="0"/>
          <w:numId w:val="2"/>
        </w:numPr>
        <w:spacing w:line="276" w:lineRule="auto"/>
        <w:rPr>
          <w:rFonts w:hAnsi="宋体" w:cstheme="minorBidi"/>
          <w:color w:val="auto"/>
          <w:kern w:val="2"/>
          <w:sz w:val="28"/>
          <w:szCs w:val="21"/>
        </w:rPr>
      </w:pPr>
      <w:r>
        <w:rPr>
          <w:rFonts w:hint="eastAsia" w:hAnsi="宋体" w:cstheme="minorBidi"/>
          <w:color w:val="auto"/>
          <w:kern w:val="2"/>
          <w:sz w:val="28"/>
          <w:szCs w:val="21"/>
        </w:rPr>
        <w:t>材料进入文物本体的孔隙后，结晶固化可与脆弱性文物本体形成一个整体，赋予文物一定的强度，为文物临时提取过程的顺利进行提供力学强度支撑，从而保持发掘过程中文物的形态，而且文物碎片间的依存关系不会因临时提取而被破坏；</w:t>
      </w:r>
      <w:r>
        <w:rPr>
          <w:rFonts w:hAnsi="宋体" w:cstheme="minorBidi"/>
          <w:color w:val="auto"/>
          <w:kern w:val="2"/>
          <w:sz w:val="28"/>
          <w:szCs w:val="21"/>
        </w:rPr>
        <w:t xml:space="preserve"> </w:t>
      </w:r>
    </w:p>
    <w:p>
      <w:pPr>
        <w:pStyle w:val="7"/>
        <w:numPr>
          <w:ilvl w:val="0"/>
          <w:numId w:val="2"/>
        </w:numPr>
        <w:spacing w:line="276" w:lineRule="auto"/>
        <w:rPr>
          <w:rFonts w:hAnsi="宋体" w:cstheme="minorBidi"/>
          <w:color w:val="auto"/>
          <w:kern w:val="2"/>
          <w:sz w:val="28"/>
          <w:szCs w:val="21"/>
        </w:rPr>
      </w:pPr>
      <w:r>
        <w:rPr>
          <w:rFonts w:hint="eastAsia" w:hAnsi="宋体" w:cstheme="minorBidi"/>
          <w:color w:val="auto"/>
          <w:kern w:val="2"/>
          <w:sz w:val="28"/>
          <w:szCs w:val="21"/>
        </w:rPr>
        <w:t>进入文物本体孔隙内部的临时固型材料，应能通过温度及通风条件等环境因素的调节按一定的速度可控挥发，既要保证在临时提取过程中文物能保持一定的强度，同时临时固型材料不能残留在文物的内部；</w:t>
      </w:r>
    </w:p>
    <w:p>
      <w:pPr>
        <w:pStyle w:val="7"/>
        <w:numPr>
          <w:ilvl w:val="0"/>
          <w:numId w:val="2"/>
        </w:numPr>
        <w:spacing w:line="276" w:lineRule="auto"/>
        <w:rPr>
          <w:rFonts w:hAnsi="宋体" w:cstheme="minorBidi"/>
          <w:color w:val="auto"/>
          <w:kern w:val="2"/>
          <w:sz w:val="28"/>
          <w:szCs w:val="21"/>
        </w:rPr>
      </w:pPr>
      <w:r>
        <w:rPr>
          <w:rFonts w:hint="eastAsia" w:hAnsi="宋体" w:cstheme="minorBidi"/>
          <w:color w:val="auto"/>
          <w:kern w:val="2"/>
          <w:sz w:val="28"/>
          <w:szCs w:val="21"/>
        </w:rPr>
        <w:t>在加固提取的全过程中，材料应当是绿色安全的，即材料不能对文物、环境以及人体产生损害，也不应和文物发生化学反应而影响文物的安全；</w:t>
      </w:r>
      <w:r>
        <w:rPr>
          <w:rFonts w:hAnsi="宋体" w:cstheme="minorBidi"/>
          <w:color w:val="auto"/>
          <w:kern w:val="2"/>
          <w:sz w:val="28"/>
          <w:szCs w:val="21"/>
        </w:rPr>
        <w:t xml:space="preserve"> </w:t>
      </w:r>
    </w:p>
    <w:p>
      <w:pPr>
        <w:pStyle w:val="7"/>
        <w:numPr>
          <w:ilvl w:val="0"/>
          <w:numId w:val="2"/>
        </w:numPr>
        <w:spacing w:line="276" w:lineRule="auto"/>
        <w:rPr>
          <w:rFonts w:hAnsi="宋体" w:cstheme="minorBidi"/>
          <w:color w:val="auto"/>
          <w:kern w:val="2"/>
          <w:sz w:val="28"/>
          <w:szCs w:val="21"/>
        </w:rPr>
      </w:pPr>
      <w:r>
        <w:rPr>
          <w:rFonts w:hint="eastAsia" w:hAnsi="宋体" w:cstheme="minorBidi"/>
          <w:color w:val="auto"/>
          <w:kern w:val="2"/>
          <w:sz w:val="28"/>
          <w:szCs w:val="21"/>
        </w:rPr>
        <w:t>针对可控去除的临时固型材料所开发的成套提取技术，应具有工艺简单、耗时短等特点，能满足多种脆弱文物与遗迹的快速提取要求。</w:t>
      </w:r>
      <w:r>
        <w:rPr>
          <w:rFonts w:hAnsi="宋体" w:cstheme="minorBidi"/>
          <w:color w:val="auto"/>
          <w:kern w:val="2"/>
          <w:sz w:val="28"/>
          <w:szCs w:val="21"/>
        </w:rPr>
        <w:t xml:space="preserve"> </w:t>
      </w:r>
    </w:p>
    <w:p>
      <w:pPr>
        <w:pStyle w:val="7"/>
        <w:numPr>
          <w:ilvl w:val="0"/>
          <w:numId w:val="1"/>
        </w:numPr>
        <w:spacing w:line="276" w:lineRule="auto"/>
        <w:rPr>
          <w:rFonts w:hAnsi="宋体" w:cs="Times New Roman"/>
          <w:b/>
          <w:kern w:val="15"/>
          <w:sz w:val="28"/>
          <w:szCs w:val="28"/>
        </w:rPr>
      </w:pPr>
      <w:r>
        <w:rPr>
          <w:rFonts w:hint="eastAsia" w:hAnsi="宋体" w:cs="Times New Roman"/>
          <w:b/>
          <w:kern w:val="15"/>
          <w:sz w:val="28"/>
          <w:szCs w:val="28"/>
        </w:rPr>
        <w:t>可控去除临时固型材料的筛选研究</w:t>
      </w:r>
    </w:p>
    <w:p>
      <w:pPr>
        <w:pStyle w:val="7"/>
        <w:spacing w:line="276" w:lineRule="auto"/>
        <w:ind w:firstLine="560" w:firstLineChars="200"/>
        <w:rPr>
          <w:rFonts w:hAnsi="宋体" w:cs="Times New Roman"/>
          <w:b/>
          <w:kern w:val="15"/>
          <w:sz w:val="28"/>
          <w:szCs w:val="28"/>
        </w:rPr>
      </w:pPr>
      <w:r>
        <w:rPr>
          <w:rFonts w:hint="eastAsia" w:hAnsi="宋体" w:cs="Times New Roman"/>
          <w:kern w:val="15"/>
          <w:sz w:val="28"/>
          <w:szCs w:val="28"/>
        </w:rPr>
        <w:t>依据可控去除的临时固型材料的设计与遴选原则，项目选取了薄荷醇、薄荷酮、薄荷醇乳酸脂</w:t>
      </w:r>
      <w:r>
        <w:rPr>
          <w:rFonts w:hint="eastAsia" w:hAnsi="宋体" w:cs="Times New Roman"/>
          <w:color w:val="auto"/>
          <w:kern w:val="15"/>
          <w:sz w:val="28"/>
          <w:szCs w:val="28"/>
        </w:rPr>
        <w:t>、麝香等香料</w:t>
      </w:r>
      <w:r>
        <w:rPr>
          <w:rFonts w:hint="eastAsia" w:hAnsi="宋体" w:cs="Times New Roman"/>
          <w:kern w:val="15"/>
          <w:sz w:val="28"/>
          <w:szCs w:val="28"/>
        </w:rPr>
        <w:t>作为备选材料进行加固实验研究。比较研究结果后，聚焦薄荷醇及其衍生物作为目标材料进行深入研究。</w:t>
      </w:r>
    </w:p>
    <w:p>
      <w:pPr>
        <w:pStyle w:val="7"/>
        <w:numPr>
          <w:ilvl w:val="0"/>
          <w:numId w:val="1"/>
        </w:numPr>
        <w:spacing w:line="276" w:lineRule="auto"/>
        <w:rPr>
          <w:rFonts w:hAnsi="宋体" w:cs="Times New Roman"/>
          <w:b/>
          <w:kern w:val="15"/>
          <w:sz w:val="28"/>
          <w:szCs w:val="28"/>
        </w:rPr>
      </w:pPr>
      <w:r>
        <w:rPr>
          <w:rFonts w:hint="eastAsia" w:hAnsi="宋体" w:cs="Times New Roman"/>
          <w:b/>
          <w:kern w:val="15"/>
          <w:sz w:val="28"/>
          <w:szCs w:val="28"/>
        </w:rPr>
        <w:t>薄荷醇临时固型材料有效性、安全性以及可控去除性研究</w:t>
      </w:r>
    </w:p>
    <w:p>
      <w:pPr>
        <w:pStyle w:val="7"/>
        <w:spacing w:line="276" w:lineRule="auto"/>
        <w:ind w:firstLine="570"/>
        <w:rPr>
          <w:rFonts w:hAnsi="宋体" w:cs="Times New Roman"/>
          <w:kern w:val="15"/>
          <w:sz w:val="28"/>
          <w:szCs w:val="28"/>
        </w:rPr>
      </w:pPr>
      <w:r>
        <w:rPr>
          <w:rFonts w:hint="eastAsia" w:hAnsi="宋体" w:cs="Times New Roman"/>
          <w:kern w:val="15"/>
          <w:sz w:val="28"/>
          <w:szCs w:val="28"/>
        </w:rPr>
        <w:t>在制备不同物理形态（融液、溶液以及气态）薄荷醇及其衍生物的基础上，通过它们对模拟样品（有机质、无机质、金属质）的加固实验研究，系统获得了临时加固、可控去除材料在提取文物应用时的有效性、安全性以及可控去除性研究结果，为后续的实际提取应用奠定了良好的基础。</w:t>
      </w:r>
    </w:p>
    <w:p>
      <w:pPr>
        <w:pStyle w:val="7"/>
        <w:numPr>
          <w:ilvl w:val="0"/>
          <w:numId w:val="1"/>
        </w:numPr>
        <w:spacing w:line="276" w:lineRule="auto"/>
        <w:rPr>
          <w:rFonts w:hAnsi="宋体" w:cs="Times New Roman"/>
          <w:b/>
          <w:kern w:val="15"/>
          <w:sz w:val="28"/>
          <w:szCs w:val="28"/>
        </w:rPr>
      </w:pPr>
      <w:r>
        <w:rPr>
          <w:rFonts w:hint="eastAsia" w:hAnsi="宋体" w:cs="Times New Roman"/>
          <w:b/>
          <w:kern w:val="15"/>
          <w:sz w:val="28"/>
          <w:szCs w:val="28"/>
        </w:rPr>
        <w:t>薄荷醇临时加固工艺技术优化以及提取标准</w:t>
      </w:r>
    </w:p>
    <w:p>
      <w:pPr>
        <w:pStyle w:val="4"/>
        <w:widowControl/>
        <w:spacing w:beforeAutospacing="0" w:afterAutospacing="0" w:line="360" w:lineRule="auto"/>
        <w:ind w:right="150" w:firstLine="560" w:firstLineChars="200"/>
        <w:rPr>
          <w:rFonts w:hAnsi="宋体"/>
          <w:bCs/>
          <w:kern w:val="15"/>
          <w:sz w:val="28"/>
          <w:szCs w:val="21"/>
        </w:rPr>
      </w:pPr>
      <w:r>
        <w:rPr>
          <w:rFonts w:hint="eastAsia" w:hAnsi="宋体"/>
          <w:bCs/>
          <w:kern w:val="15"/>
          <w:sz w:val="28"/>
          <w:szCs w:val="21"/>
        </w:rPr>
        <w:t>通过壁画、脆弱性文物及遗迹的模拟实验，系统研究了文物加固提取的工艺技术路线，探讨了不同材质文物（有机、无机、金属质）、不同含水状况文物（低含水、高含水）以及不同提取环境（温度、湿度）下，薄荷醇及其衍生物临时加固、可控提取文物的最佳工艺技术路线，研制了文物微环境控制装置、开发了一批适合于文物提取的工具与装置，为文物标准化提取过程的建立奠定了良好的基础。</w:t>
      </w:r>
    </w:p>
    <w:p>
      <w:pPr>
        <w:pStyle w:val="7"/>
        <w:numPr>
          <w:ilvl w:val="0"/>
          <w:numId w:val="1"/>
        </w:numPr>
        <w:spacing w:line="276" w:lineRule="auto"/>
        <w:rPr>
          <w:rFonts w:hAnsi="宋体" w:cs="Times New Roman"/>
          <w:b/>
          <w:kern w:val="15"/>
          <w:sz w:val="28"/>
          <w:szCs w:val="28"/>
        </w:rPr>
      </w:pPr>
      <w:r>
        <w:rPr>
          <w:rFonts w:hint="eastAsia" w:hAnsi="宋体" w:cs="Times New Roman"/>
          <w:b/>
          <w:kern w:val="15"/>
          <w:sz w:val="28"/>
          <w:szCs w:val="28"/>
        </w:rPr>
        <w:t>考古发掘现场出土脆弱文物与遗迹临时固型提取技术的应用研究</w:t>
      </w:r>
    </w:p>
    <w:p>
      <w:pPr>
        <w:pStyle w:val="4"/>
        <w:widowControl/>
        <w:spacing w:beforeAutospacing="0" w:afterAutospacing="0" w:line="360" w:lineRule="auto"/>
        <w:ind w:right="150" w:firstLine="560"/>
        <w:rPr>
          <w:rFonts w:ascii="宋体" w:hAnsi="宋体" w:eastAsia="宋体" w:cs="宋体"/>
          <w:sz w:val="28"/>
          <w:szCs w:val="21"/>
        </w:rPr>
      </w:pPr>
      <w:r>
        <w:rPr>
          <w:rFonts w:hint="eastAsia" w:ascii="宋体" w:hAnsi="宋体" w:eastAsia="宋体" w:cs="宋体"/>
          <w:sz w:val="28"/>
          <w:szCs w:val="21"/>
        </w:rPr>
        <w:t>从国内重点文物单位选择了46处有代表性的典型文物进行应用研究工作，按照考古现场的提取要求，结合预先制定的提取工艺技术标准，量身定做成适合于各自特征的临时加固提取工艺技术规范，并付诸于临时加固提取文物应用，圆满地将46处脆弱文物成功提取到实验室进行保护，其中很多是过去难以提取的文物。</w:t>
      </w:r>
    </w:p>
    <w:p>
      <w:pPr>
        <w:pStyle w:val="4"/>
        <w:widowControl/>
        <w:spacing w:beforeAutospacing="0" w:afterAutospacing="0" w:line="360" w:lineRule="auto"/>
        <w:ind w:right="150"/>
        <w:rPr>
          <w:rFonts w:ascii="宋体" w:hAnsi="宋体" w:eastAsia="宋体" w:cs="宋体"/>
          <w:b/>
          <w:sz w:val="28"/>
          <w:szCs w:val="21"/>
        </w:rPr>
      </w:pPr>
    </w:p>
    <w:p>
      <w:pPr>
        <w:pStyle w:val="4"/>
        <w:widowControl/>
        <w:spacing w:beforeAutospacing="0" w:afterAutospacing="0" w:line="360" w:lineRule="auto"/>
        <w:ind w:right="150"/>
        <w:rPr>
          <w:rFonts w:ascii="宋体" w:hAnsi="宋体" w:eastAsia="宋体" w:cs="宋体"/>
          <w:b/>
          <w:sz w:val="28"/>
          <w:szCs w:val="21"/>
        </w:rPr>
      </w:pPr>
      <w:r>
        <w:rPr>
          <w:rFonts w:hint="eastAsia" w:ascii="宋体" w:hAnsi="宋体" w:eastAsia="宋体" w:cs="宋体"/>
          <w:b/>
          <w:sz w:val="28"/>
          <w:szCs w:val="21"/>
        </w:rPr>
        <w:t>四、项目创新点</w:t>
      </w:r>
    </w:p>
    <w:p>
      <w:pPr>
        <w:pStyle w:val="4"/>
        <w:widowControl/>
        <w:numPr>
          <w:ilvl w:val="0"/>
          <w:numId w:val="3"/>
        </w:numPr>
        <w:spacing w:beforeAutospacing="0" w:afterAutospacing="0" w:line="360" w:lineRule="auto"/>
        <w:ind w:right="150"/>
        <w:rPr>
          <w:rFonts w:ascii="宋体" w:hAnsi="宋体" w:eastAsia="宋体" w:cs="宋体"/>
          <w:sz w:val="28"/>
          <w:szCs w:val="21"/>
        </w:rPr>
      </w:pPr>
      <w:r>
        <w:rPr>
          <w:rFonts w:hint="eastAsia" w:ascii="宋体" w:hAnsi="宋体" w:eastAsia="宋体" w:cs="宋体"/>
          <w:sz w:val="28"/>
          <w:szCs w:val="21"/>
        </w:rPr>
        <w:t>首次在国际上，依据文物保护特点，提出了临时固型材料的遴选与研发原则；</w:t>
      </w:r>
    </w:p>
    <w:p>
      <w:pPr>
        <w:pStyle w:val="4"/>
        <w:widowControl/>
        <w:numPr>
          <w:ilvl w:val="0"/>
          <w:numId w:val="3"/>
        </w:numPr>
        <w:spacing w:beforeAutospacing="0" w:afterAutospacing="0" w:line="360" w:lineRule="auto"/>
        <w:ind w:right="150"/>
        <w:rPr>
          <w:rFonts w:ascii="宋体" w:hAnsi="宋体" w:eastAsia="宋体" w:cs="宋体"/>
          <w:sz w:val="28"/>
          <w:szCs w:val="21"/>
        </w:rPr>
      </w:pPr>
      <w:r>
        <w:rPr>
          <w:rFonts w:hint="eastAsia" w:ascii="宋体" w:hAnsi="宋体" w:eastAsia="宋体" w:cs="宋体"/>
          <w:sz w:val="28"/>
          <w:szCs w:val="21"/>
        </w:rPr>
        <w:t>首次在国际上，成功地将左旋薄荷醇应用于多种不同材质脆弱文物与遗迹（彩绘遗迹、漆木器、壁画、棺板、骨骼等）的提取；</w:t>
      </w:r>
    </w:p>
    <w:p>
      <w:pPr>
        <w:pStyle w:val="4"/>
        <w:widowControl/>
        <w:numPr>
          <w:ilvl w:val="0"/>
          <w:numId w:val="3"/>
        </w:numPr>
        <w:spacing w:beforeAutospacing="0" w:afterAutospacing="0" w:line="360" w:lineRule="auto"/>
        <w:ind w:right="150"/>
        <w:rPr>
          <w:rFonts w:ascii="宋体" w:hAnsi="宋体" w:eastAsia="宋体" w:cs="宋体"/>
          <w:sz w:val="28"/>
          <w:szCs w:val="21"/>
        </w:rPr>
      </w:pPr>
      <w:r>
        <w:rPr>
          <w:rFonts w:hint="eastAsia" w:ascii="宋体" w:hAnsi="宋体" w:eastAsia="宋体" w:cs="宋体"/>
          <w:sz w:val="28"/>
          <w:szCs w:val="21"/>
        </w:rPr>
        <w:t>首次在国际上，系统地研究了左旋薄荷醇用于文物遗迹的临时固型特性（安全性、有效性、可控性），开启了未来对此类材料持续研究的先河；</w:t>
      </w:r>
    </w:p>
    <w:p>
      <w:pPr>
        <w:pStyle w:val="4"/>
        <w:widowControl/>
        <w:numPr>
          <w:ilvl w:val="0"/>
          <w:numId w:val="3"/>
        </w:numPr>
        <w:spacing w:beforeAutospacing="0" w:afterAutospacing="0" w:line="360" w:lineRule="auto"/>
        <w:ind w:right="150"/>
        <w:rPr>
          <w:rFonts w:ascii="宋体" w:hAnsi="宋体" w:eastAsia="宋体" w:cs="宋体"/>
          <w:sz w:val="28"/>
          <w:szCs w:val="21"/>
        </w:rPr>
      </w:pPr>
      <w:r>
        <w:rPr>
          <w:rFonts w:hint="eastAsia" w:ascii="宋体" w:hAnsi="宋体" w:eastAsia="宋体" w:cs="宋体"/>
          <w:sz w:val="28"/>
          <w:szCs w:val="21"/>
        </w:rPr>
        <w:t>填补了国际上对“绿色安全、可控去除”临时固型材料的需求空白，是我国考古发掘现场抢救性保护工作的开创性成果， 具有广阔的应用前景和较高的推广价值。</w:t>
      </w:r>
    </w:p>
    <w:p>
      <w:pPr>
        <w:pStyle w:val="4"/>
        <w:widowControl/>
        <w:spacing w:beforeAutospacing="0" w:afterAutospacing="0" w:line="360" w:lineRule="auto"/>
        <w:ind w:right="150"/>
        <w:rPr>
          <w:rFonts w:ascii="宋体" w:hAnsi="宋体" w:eastAsia="宋体" w:cs="宋体"/>
          <w:b/>
          <w:sz w:val="28"/>
          <w:szCs w:val="21"/>
        </w:rPr>
      </w:pPr>
    </w:p>
    <w:p>
      <w:pPr>
        <w:pStyle w:val="4"/>
        <w:widowControl/>
        <w:spacing w:beforeAutospacing="0" w:afterAutospacing="0" w:line="360" w:lineRule="auto"/>
        <w:ind w:right="150"/>
        <w:rPr>
          <w:rFonts w:ascii="宋体" w:hAnsi="宋体" w:eastAsia="宋体" w:cs="宋体"/>
          <w:b/>
          <w:sz w:val="28"/>
          <w:szCs w:val="21"/>
        </w:rPr>
      </w:pPr>
      <w:r>
        <w:rPr>
          <w:rFonts w:hint="eastAsia" w:ascii="宋体" w:hAnsi="宋体" w:eastAsia="宋体" w:cs="宋体"/>
          <w:b/>
          <w:sz w:val="28"/>
          <w:szCs w:val="21"/>
        </w:rPr>
        <w:t>五、支撑材料</w:t>
      </w:r>
    </w:p>
    <w:p>
      <w:pPr>
        <w:pStyle w:val="4"/>
        <w:widowControl/>
        <w:spacing w:beforeAutospacing="0" w:afterAutospacing="0" w:line="360" w:lineRule="auto"/>
        <w:ind w:right="150"/>
        <w:rPr>
          <w:rFonts w:ascii="宋体" w:hAnsi="宋体" w:eastAsia="宋体" w:cs="宋体"/>
          <w:sz w:val="28"/>
          <w:szCs w:val="21"/>
        </w:rPr>
      </w:pPr>
      <w:r>
        <w:rPr>
          <w:rFonts w:hint="eastAsia" w:ascii="宋体" w:hAnsi="宋体" w:eastAsia="宋体" w:cs="宋体"/>
          <w:sz w:val="28"/>
          <w:szCs w:val="21"/>
        </w:rPr>
        <w:t>（一）教育部科技查新结果</w:t>
      </w:r>
    </w:p>
    <w:p>
      <w:pPr>
        <w:pStyle w:val="4"/>
        <w:widowControl/>
        <w:spacing w:beforeAutospacing="0" w:afterAutospacing="0" w:line="360" w:lineRule="auto"/>
        <w:ind w:right="150"/>
        <w:rPr>
          <w:rFonts w:ascii="宋体" w:hAnsi="宋体" w:eastAsia="宋体"/>
          <w:color w:val="0D0D0D"/>
          <w:kern w:val="2"/>
          <w:sz w:val="28"/>
          <w:szCs w:val="21"/>
        </w:rPr>
      </w:pPr>
      <w:r>
        <w:rPr>
          <w:rFonts w:hint="eastAsia" w:ascii="宋体" w:hAnsi="宋体" w:eastAsia="宋体"/>
          <w:color w:val="0D0D0D"/>
          <w:kern w:val="2"/>
          <w:sz w:val="28"/>
          <w:szCs w:val="21"/>
        </w:rPr>
        <w:t xml:space="preserve">    本团队首次将左旋薄荷醇作为临时固型材料应用于考古发掘现场脆弱遗迹（易损彩绘遗迹、木炭遗迹、青铜兵器遗迹、漆木器遗迹、彩绘棺板、骨骼、壁画等）的提取保护，该项工作在国际上具有首创性，成果总体上达到同类保护技术国际领先水平。（见附件1）</w:t>
      </w:r>
    </w:p>
    <w:p>
      <w:pPr>
        <w:pStyle w:val="4"/>
        <w:widowControl/>
        <w:spacing w:beforeAutospacing="0" w:afterAutospacing="0" w:line="360" w:lineRule="auto"/>
        <w:ind w:right="150"/>
        <w:rPr>
          <w:rFonts w:ascii="宋体" w:hAnsi="宋体" w:eastAsia="宋体"/>
          <w:color w:val="0D0D0D"/>
          <w:kern w:val="2"/>
          <w:sz w:val="28"/>
          <w:szCs w:val="21"/>
        </w:rPr>
      </w:pPr>
      <w:r>
        <w:rPr>
          <w:rFonts w:hint="eastAsia" w:ascii="宋体" w:hAnsi="宋体" w:eastAsia="宋体"/>
          <w:color w:val="0D0D0D"/>
          <w:kern w:val="2"/>
          <w:sz w:val="28"/>
          <w:szCs w:val="21"/>
        </w:rPr>
        <w:t>（二）文物局科技创新奖评审专家评价</w:t>
      </w:r>
    </w:p>
    <w:p>
      <w:pPr>
        <w:pStyle w:val="4"/>
        <w:widowControl/>
        <w:spacing w:beforeAutospacing="0" w:afterAutospacing="0" w:line="360" w:lineRule="auto"/>
        <w:ind w:right="150"/>
        <w:rPr>
          <w:rFonts w:ascii="宋体" w:hAnsi="宋体" w:eastAsia="宋体"/>
          <w:color w:val="0D0D0D"/>
          <w:kern w:val="2"/>
          <w:sz w:val="28"/>
          <w:szCs w:val="21"/>
        </w:rPr>
      </w:pPr>
      <w:r>
        <w:rPr>
          <w:rFonts w:hint="eastAsia" w:ascii="宋体" w:hAnsi="宋体" w:eastAsia="宋体"/>
          <w:color w:val="0D0D0D"/>
          <w:kern w:val="2"/>
          <w:sz w:val="28"/>
          <w:szCs w:val="21"/>
        </w:rPr>
        <w:t xml:space="preserve">    该项目基于考古发掘现场脆弱遗迹提取的技术难点，科学提出了脆弱遗迹提取临时固型材料的性能指标要求，研发筛选出薄荷醇及其衍生物作为脆弱遗迹临时固型材料，并科学表征了该材料现场应用中临时固型的有效性和可靠性。该项目系统研究了临时固型材料与脆弱遗迹提取的相互关系，建立了临时固型材料薄荷醇类物质性能的科学表征及应用效果综合评价方法，研发出考古发掘现场脆弱遗迹临时保存的微环境控制装置，研制了考古发掘现场脆弱遗迹临时固型的工作流程及操作规范。对不同质地和形态的脆弱遗迹提取应用和工艺比较表明，该固型材料对脆弱遗迹形态具有良好的固型性，对脆弱遗迹本体无不良影响，容易去除，使用安全。该项目研发成果在我国多处重要考古发掘现场的应用取得了良好的示范效果，具有良好的推广应用前景。该项目可为我国考古发掘现场脆弱遗迹提取提供有力的技术支撑，对提高我国考古发掘现场脆弱遗迹提取的技术与装备水平具有重要意义。（见附件2）</w:t>
      </w:r>
    </w:p>
    <w:p>
      <w:pPr>
        <w:pStyle w:val="4"/>
        <w:widowControl/>
        <w:numPr>
          <w:ilvl w:val="0"/>
          <w:numId w:val="4"/>
        </w:numPr>
        <w:spacing w:beforeAutospacing="0" w:afterAutospacing="0" w:line="360" w:lineRule="auto"/>
        <w:ind w:right="150"/>
        <w:rPr>
          <w:rFonts w:ascii="宋体" w:hAnsi="宋体" w:eastAsia="宋体"/>
          <w:color w:val="0D0D0D"/>
          <w:kern w:val="2"/>
          <w:sz w:val="28"/>
          <w:szCs w:val="21"/>
        </w:rPr>
      </w:pPr>
      <w:r>
        <w:rPr>
          <w:rFonts w:hint="eastAsia" w:ascii="宋体" w:hAnsi="宋体" w:eastAsia="宋体"/>
          <w:color w:val="0D0D0D"/>
          <w:kern w:val="2"/>
          <w:sz w:val="28"/>
          <w:szCs w:val="21"/>
        </w:rPr>
        <w:t>国家重点基础研究发展计划（973计划）项目专家评价</w:t>
      </w:r>
    </w:p>
    <w:p>
      <w:pPr>
        <w:pStyle w:val="4"/>
        <w:widowControl/>
        <w:spacing w:beforeAutospacing="0" w:afterAutospacing="0" w:line="360" w:lineRule="auto"/>
        <w:ind w:right="150"/>
        <w:rPr>
          <w:rFonts w:ascii="宋体" w:hAnsi="宋体" w:eastAsia="宋体"/>
          <w:color w:val="0D0D0D"/>
          <w:sz w:val="28"/>
          <w:szCs w:val="21"/>
        </w:rPr>
      </w:pPr>
      <w:r>
        <w:rPr>
          <w:rFonts w:hint="eastAsia" w:ascii="宋体" w:hAnsi="宋体" w:eastAsia="宋体"/>
          <w:color w:val="0D0D0D"/>
          <w:sz w:val="28"/>
          <w:szCs w:val="21"/>
        </w:rPr>
        <w:t xml:space="preserve">    为解决考古发掘现场极度脆弱文物的安全提取或转移搬迁问题。利用左旋薄荷醇等固体香料在温室下自然挥发的特点，开发了具有极度熔点的临时固型材料系列。系统研究了这些临时固型材料对不同材质、孔隙度及不同含水率基材的渗透性、提取能力、加固强度、失效速率等基本性质；评估了熔体固化和释放发挥过程对脆弱文物基材结构的安全性和对环境的生物安全性；同时，完成了发掘现场文物提取施工工艺的优化研究，在秦始皇兵马俑等多处发掘现场对极度脆弱文物进行了一系列临时加固、搬迁和提取实验，取得了比较满意的结果。左旋薄荷醇等香料类临时固型材料价格比较低廉；对文物和环境安全，无毒；无生物体内聚集的生物安全性问题，对潮湿基材的渗透性和提取能力很好，并可自然发挥干净，无污染；熔融体对亲水和非亲水类基材有较好的渗透性；固化后强度满足文物提取和搬迁要求；现场施工工艺简单，有望成为国内售用的考古现场临时固型材料，为发掘现场极度脆弱文物的安全提取或转移搬迁提供材料和技术支撑。（见附件3）</w:t>
      </w:r>
    </w:p>
    <w:p>
      <w:pPr>
        <w:pStyle w:val="4"/>
        <w:widowControl/>
        <w:numPr>
          <w:ilvl w:val="0"/>
          <w:numId w:val="4"/>
        </w:numPr>
        <w:spacing w:beforeAutospacing="0" w:afterAutospacing="0" w:line="360" w:lineRule="auto"/>
        <w:ind w:left="150" w:right="150"/>
        <w:rPr>
          <w:rFonts w:ascii="宋体" w:hAnsi="宋体" w:eastAsia="宋体"/>
          <w:color w:val="0D0D0D"/>
          <w:kern w:val="2"/>
          <w:sz w:val="28"/>
          <w:szCs w:val="21"/>
        </w:rPr>
      </w:pPr>
      <w:r>
        <w:rPr>
          <w:rFonts w:hint="eastAsia" w:ascii="宋体" w:hAnsi="宋体" w:eastAsia="宋体"/>
          <w:color w:val="0D0D0D"/>
          <w:kern w:val="2"/>
          <w:sz w:val="28"/>
          <w:szCs w:val="21"/>
        </w:rPr>
        <w:t>新闻媒体报道</w:t>
      </w:r>
    </w:p>
    <w:p>
      <w:pPr>
        <w:pStyle w:val="4"/>
        <w:widowControl/>
        <w:spacing w:beforeAutospacing="0" w:afterAutospacing="0" w:line="360" w:lineRule="auto"/>
        <w:ind w:right="150" w:firstLine="560"/>
        <w:rPr>
          <w:rFonts w:ascii="宋体" w:hAnsi="宋体" w:eastAsia="宋体"/>
          <w:color w:val="0D0D0D"/>
          <w:sz w:val="28"/>
          <w:szCs w:val="21"/>
        </w:rPr>
      </w:pPr>
      <w:r>
        <w:rPr>
          <w:rFonts w:hint="eastAsia" w:ascii="宋体" w:hAnsi="宋体" w:eastAsia="宋体"/>
          <w:color w:val="0D0D0D"/>
          <w:sz w:val="28"/>
          <w:szCs w:val="21"/>
        </w:rPr>
        <w:t>陕西电视台、中国文物报、人民网、科技日报、澎拜新闻等媒体对本项目工作的报道：</w:t>
      </w:r>
    </w:p>
    <w:p>
      <w:pPr>
        <w:pStyle w:val="4"/>
        <w:widowControl/>
        <w:numPr>
          <w:ilvl w:val="0"/>
          <w:numId w:val="5"/>
        </w:numPr>
        <w:spacing w:beforeAutospacing="0" w:afterAutospacing="0" w:line="360" w:lineRule="auto"/>
        <w:ind w:right="150" w:firstLine="560"/>
        <w:rPr>
          <w:rFonts w:ascii="宋体" w:hAnsi="宋体" w:eastAsia="宋体"/>
          <w:color w:val="0D0D0D"/>
          <w:kern w:val="2"/>
          <w:sz w:val="28"/>
          <w:szCs w:val="21"/>
        </w:rPr>
      </w:pPr>
      <w:r>
        <w:rPr>
          <w:rFonts w:hint="eastAsia" w:ascii="宋体" w:hAnsi="宋体" w:eastAsia="宋体"/>
          <w:color w:val="0D0D0D"/>
          <w:kern w:val="2"/>
          <w:sz w:val="28"/>
          <w:szCs w:val="21"/>
        </w:rPr>
        <w:t>西安新闻网（2016年12月23日）薄荷糖、薄荷水还有薄荷味牙膏……这些食品和生活用品大家都已司空见惯，它们之所以能散发出一种清爽怡人的薄荷味是因为其中包含一种叫薄荷醇的元素。但可能让您意想不到的是秦始皇地陵博物院的专家将无害的薄荷醇及其衍生物用于考古后，竟捧回技术创新大奖。陕西电视台（2016年12月24日）播出新闻，“秦兵马俑考古技术新成果“薄荷醇”保护遗迹显神威”，“无害材料与考古“化学反应”捧大奖，比传统材料成本更低破坏更小。（见附件4）</w:t>
      </w:r>
    </w:p>
    <w:p>
      <w:pPr>
        <w:pStyle w:val="4"/>
        <w:widowControl/>
        <w:numPr>
          <w:ilvl w:val="0"/>
          <w:numId w:val="5"/>
        </w:numPr>
        <w:spacing w:beforeAutospacing="0" w:afterAutospacing="0" w:line="360" w:lineRule="auto"/>
        <w:ind w:right="150" w:firstLine="560"/>
        <w:rPr>
          <w:rFonts w:ascii="宋体" w:hAnsi="宋体" w:eastAsia="宋体"/>
          <w:color w:val="0D0D0D"/>
          <w:sz w:val="28"/>
          <w:szCs w:val="21"/>
        </w:rPr>
      </w:pPr>
      <w:r>
        <w:rPr>
          <w:rFonts w:hint="eastAsia" w:ascii="宋体" w:hAnsi="宋体" w:eastAsia="宋体"/>
          <w:color w:val="0D0D0D"/>
          <w:sz w:val="28"/>
          <w:szCs w:val="21"/>
        </w:rPr>
        <w:t>中国文物报（2016年12月13日）指出，专家点评评审科技创新奖项目时指出：该项目研发成果在我国多处重要考古发掘现场的应用取得了良好的示范效果，具有良好的推广应用前景。该项目可为我国考古发掘现场脆弱遗迹提取提供有力的技术支撑，对提高我国考古发掘现场脆弱遗迹提取的技术与装备水平具有重要意义。（见附件5）</w:t>
      </w:r>
    </w:p>
    <w:p>
      <w:pPr>
        <w:pStyle w:val="4"/>
        <w:widowControl/>
        <w:numPr>
          <w:ilvl w:val="0"/>
          <w:numId w:val="5"/>
        </w:numPr>
        <w:spacing w:beforeAutospacing="0" w:afterAutospacing="0" w:line="360" w:lineRule="auto"/>
        <w:ind w:right="150" w:firstLine="560"/>
        <w:rPr>
          <w:rFonts w:ascii="宋体" w:hAnsi="宋体" w:eastAsia="宋体"/>
          <w:color w:val="0D0D0D"/>
          <w:sz w:val="28"/>
          <w:szCs w:val="21"/>
        </w:rPr>
      </w:pPr>
      <w:r>
        <w:rPr>
          <w:rFonts w:hint="eastAsia" w:ascii="宋体" w:hAnsi="宋体" w:eastAsia="宋体"/>
          <w:color w:val="0D0D0D"/>
          <w:sz w:val="28"/>
          <w:szCs w:val="21"/>
        </w:rPr>
        <w:t>澎拜新闻（2016年10月27日）记者在采访徐州博物馆文保中心主任：千年玉棺是如何修复还原的...，提到这具玉棺总体是朝外侧倒塌的，那么西侧板外面的漆皮一定是相对完整的——事实上那个时候我们只是预测相对完整的，因为朽烂的木胎、淤积的白膏泥完全覆盖在漆皮上，具体保存状况是未知的。为了不破坏其整体性，以及为了保障更多信息的原始性，我们采用了脆弱遗迹的提取技术，也就是薄荷醇加固法，先把薄荷醇熔融以后涂上去，再铺上纱布，就像揭壁画一样，作为一个整体提取下来。因为加固面积较大，长2米、宽0.4米，5个人通力协作，成功将其提取并翻转过来。看到的情形是相当令人欣喜的，玉棺西侧板外侧残存的漆皮大体是保存完好的，棺外的装饰一目了然，有小铺首，有玉璧，有玉璜，有玉龙——现在看来应该是犀形的玉饰。看到这个结果，我们非常震撼，除了装饰性构件，漆皮上能辨识出的彩绘纹饰，也异常精美。薄荷醇整体加固法揭取西侧板(见附件6)</w:t>
      </w:r>
    </w:p>
    <w:p>
      <w:pPr>
        <w:pStyle w:val="4"/>
        <w:widowControl/>
        <w:spacing w:beforeAutospacing="0" w:afterAutospacing="0" w:line="360" w:lineRule="auto"/>
        <w:ind w:left="150" w:right="150"/>
        <w:rPr>
          <w:rFonts w:ascii="宋体" w:hAnsi="宋体" w:eastAsia="宋体"/>
          <w:color w:val="0D0D0D"/>
          <w:kern w:val="2"/>
          <w:sz w:val="28"/>
          <w:szCs w:val="21"/>
        </w:rPr>
      </w:pPr>
      <w:r>
        <w:rPr>
          <w:rFonts w:hint="eastAsia" w:ascii="宋体" w:hAnsi="宋体" w:eastAsia="宋体"/>
          <w:color w:val="0D0D0D"/>
          <w:kern w:val="2"/>
          <w:sz w:val="28"/>
          <w:szCs w:val="21"/>
        </w:rPr>
        <w:t>（五）专利</w:t>
      </w:r>
    </w:p>
    <w:tbl>
      <w:tblPr>
        <w:tblStyle w:val="6"/>
        <w:tblW w:w="8306" w:type="dxa"/>
        <w:jc w:val="center"/>
        <w:tblInd w:w="-206" w:type="dxa"/>
        <w:tblLayout w:type="fixed"/>
        <w:tblCellMar>
          <w:top w:w="0" w:type="dxa"/>
          <w:left w:w="108" w:type="dxa"/>
          <w:bottom w:w="0" w:type="dxa"/>
          <w:right w:w="108" w:type="dxa"/>
        </w:tblCellMar>
      </w:tblPr>
      <w:tblGrid>
        <w:gridCol w:w="791"/>
        <w:gridCol w:w="1293"/>
        <w:gridCol w:w="629"/>
        <w:gridCol w:w="886"/>
        <w:gridCol w:w="638"/>
        <w:gridCol w:w="714"/>
        <w:gridCol w:w="1043"/>
        <w:gridCol w:w="1172"/>
        <w:gridCol w:w="1140"/>
      </w:tblGrid>
      <w:tr>
        <w:tblPrEx>
          <w:tblLayout w:type="fixed"/>
          <w:tblCellMar>
            <w:top w:w="0" w:type="dxa"/>
            <w:left w:w="108" w:type="dxa"/>
            <w:bottom w:w="0" w:type="dxa"/>
            <w:right w:w="108" w:type="dxa"/>
          </w:tblCellMar>
        </w:tblPrEx>
        <w:trPr>
          <w:trHeight w:val="680" w:hRule="atLeast"/>
          <w:jc w:val="center"/>
        </w:trPr>
        <w:tc>
          <w:tcPr>
            <w:tcW w:w="791"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left"/>
              <w:rPr>
                <w:szCs w:val="21"/>
              </w:rPr>
            </w:pPr>
            <w:r>
              <w:rPr>
                <w:rFonts w:hint="eastAsia" w:ascii="Calibri" w:hAnsi="Calibri" w:eastAsia="宋体" w:cs="Times New Roman"/>
                <w:szCs w:val="21"/>
              </w:rPr>
              <w:t>知识产权类别</w:t>
            </w:r>
          </w:p>
        </w:tc>
        <w:tc>
          <w:tcPr>
            <w:tcW w:w="1293"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ascii="Calibri" w:hAnsi="Calibri" w:eastAsia="宋体" w:cs="Times New Roman"/>
                <w:szCs w:val="21"/>
              </w:rPr>
              <w:t>知识产权具体名称</w:t>
            </w:r>
          </w:p>
        </w:tc>
        <w:tc>
          <w:tcPr>
            <w:tcW w:w="629"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ascii="Calibri" w:hAnsi="Calibri" w:eastAsia="宋体" w:cs="Times New Roman"/>
                <w:szCs w:val="21"/>
              </w:rPr>
              <w:t>国家</w:t>
            </w:r>
          </w:p>
          <w:p>
            <w:pPr>
              <w:widowControl/>
              <w:jc w:val="left"/>
              <w:rPr>
                <w:szCs w:val="21"/>
              </w:rPr>
            </w:pPr>
            <w:r>
              <w:rPr>
                <w:rFonts w:hint="eastAsia" w:ascii="Calibri" w:hAnsi="Calibri" w:eastAsia="宋体" w:cs="Times New Roman"/>
                <w:szCs w:val="21"/>
              </w:rPr>
              <w:t>（地区）</w:t>
            </w:r>
          </w:p>
        </w:tc>
        <w:tc>
          <w:tcPr>
            <w:tcW w:w="886"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ascii="Calibri" w:hAnsi="Calibri" w:eastAsia="宋体" w:cs="Times New Roman"/>
                <w:szCs w:val="21"/>
              </w:rPr>
              <w:t>授权号</w:t>
            </w:r>
          </w:p>
        </w:tc>
        <w:tc>
          <w:tcPr>
            <w:tcW w:w="638"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ascii="Calibri" w:hAnsi="Calibri" w:eastAsia="宋体" w:cs="Times New Roman"/>
                <w:szCs w:val="21"/>
              </w:rPr>
              <w:t>授权</w:t>
            </w:r>
          </w:p>
          <w:p>
            <w:pPr>
              <w:widowControl/>
              <w:jc w:val="left"/>
              <w:rPr>
                <w:szCs w:val="21"/>
              </w:rPr>
            </w:pPr>
            <w:r>
              <w:rPr>
                <w:rFonts w:hint="eastAsia" w:ascii="Calibri" w:hAnsi="Calibri" w:eastAsia="宋体" w:cs="Times New Roman"/>
                <w:szCs w:val="21"/>
              </w:rPr>
              <w:t>日期</w:t>
            </w:r>
          </w:p>
        </w:tc>
        <w:tc>
          <w:tcPr>
            <w:tcW w:w="714"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ascii="Calibri" w:hAnsi="Calibri" w:eastAsia="宋体" w:cs="Times New Roman"/>
                <w:szCs w:val="21"/>
              </w:rPr>
              <w:t>证书</w:t>
            </w:r>
          </w:p>
          <w:p>
            <w:pPr>
              <w:widowControl/>
              <w:jc w:val="left"/>
              <w:rPr>
                <w:szCs w:val="21"/>
              </w:rPr>
            </w:pPr>
            <w:r>
              <w:rPr>
                <w:rFonts w:hint="eastAsia" w:ascii="Calibri" w:hAnsi="Calibri" w:eastAsia="宋体" w:cs="Times New Roman"/>
                <w:szCs w:val="21"/>
              </w:rPr>
              <w:t>编号</w:t>
            </w:r>
          </w:p>
        </w:tc>
        <w:tc>
          <w:tcPr>
            <w:tcW w:w="1043"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ascii="Calibri" w:hAnsi="Calibri" w:eastAsia="宋体" w:cs="Times New Roman"/>
                <w:szCs w:val="21"/>
              </w:rPr>
              <w:t>权利人</w:t>
            </w:r>
          </w:p>
        </w:tc>
        <w:tc>
          <w:tcPr>
            <w:tcW w:w="1172"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ascii="Calibri" w:hAnsi="Calibri" w:eastAsia="宋体" w:cs="Times New Roman"/>
                <w:szCs w:val="21"/>
              </w:rPr>
              <w:t>发明人</w:t>
            </w:r>
          </w:p>
        </w:tc>
        <w:tc>
          <w:tcPr>
            <w:tcW w:w="1140" w:type="dxa"/>
            <w:tcBorders>
              <w:top w:val="single" w:color="auto" w:sz="8" w:space="0"/>
              <w:left w:val="single" w:color="auto" w:sz="4" w:space="0"/>
              <w:bottom w:val="single" w:color="auto" w:sz="4" w:space="0"/>
              <w:right w:val="single" w:color="auto" w:sz="8" w:space="0"/>
            </w:tcBorders>
            <w:shd w:val="clear" w:color="auto" w:fill="auto"/>
            <w:vAlign w:val="center"/>
          </w:tcPr>
          <w:p>
            <w:pPr>
              <w:widowControl/>
              <w:jc w:val="left"/>
              <w:rPr>
                <w:szCs w:val="21"/>
              </w:rPr>
            </w:pPr>
            <w:r>
              <w:rPr>
                <w:rFonts w:hint="eastAsia" w:ascii="Calibri" w:hAnsi="Calibri" w:eastAsia="宋体" w:cs="Times New Roman"/>
                <w:szCs w:val="21"/>
              </w:rPr>
              <w:t>发明专利有效状态</w:t>
            </w:r>
          </w:p>
        </w:tc>
      </w:tr>
      <w:tr>
        <w:tblPrEx>
          <w:tblLayout w:type="fixed"/>
          <w:tblCellMar>
            <w:top w:w="0" w:type="dxa"/>
            <w:left w:w="108" w:type="dxa"/>
            <w:bottom w:w="0" w:type="dxa"/>
            <w:right w:w="108" w:type="dxa"/>
          </w:tblCellMar>
        </w:tblPrEx>
        <w:trPr>
          <w:trHeight w:val="1077" w:hRule="atLeast"/>
          <w:jc w:val="center"/>
        </w:trPr>
        <w:tc>
          <w:tcPr>
            <w:tcW w:w="79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szCs w:val="21"/>
              </w:rPr>
            </w:pPr>
            <w:r>
              <w:rPr>
                <w:rFonts w:hint="eastAsia" w:ascii="Calibri" w:hAnsi="Calibri" w:eastAsia="宋体" w:cs="Times New Roman"/>
                <w:szCs w:val="21"/>
              </w:rPr>
              <w:t>发明专利</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薄荷醇及其衍生物作为文物遗址现场提取材料的用途</w:t>
            </w:r>
          </w:p>
        </w:tc>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ascii="Calibri" w:hAnsi="Calibri" w:eastAsia="宋体" w:cs="Times New Roman"/>
                <w:szCs w:val="21"/>
              </w:rPr>
              <w:t>中国</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ZL2010 1 0252551.9</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2012年6月27日</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982168</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中国科学院上海有机化学研究所、</w:t>
            </w:r>
          </w:p>
          <w:p>
            <w:pPr>
              <w:widowControl/>
              <w:jc w:val="left"/>
              <w:rPr>
                <w:szCs w:val="21"/>
              </w:rPr>
            </w:pPr>
            <w:r>
              <w:rPr>
                <w:rFonts w:hint="eastAsia"/>
                <w:szCs w:val="21"/>
              </w:rPr>
              <w:t>中国科学院上海硅酸盐研究所、秦始皇兵马俑博物馆</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房强、韩向娜、罗宏杰、李伟东、周铁、容波</w:t>
            </w:r>
          </w:p>
        </w:tc>
        <w:tc>
          <w:tcPr>
            <w:tcW w:w="1140"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left"/>
              <w:rPr>
                <w:szCs w:val="21"/>
              </w:rPr>
            </w:pPr>
            <w:r>
              <w:rPr>
                <w:rFonts w:hint="eastAsia" w:ascii="Calibri" w:hAnsi="Calibri" w:eastAsia="宋体" w:cs="Times New Roman"/>
                <w:szCs w:val="21"/>
              </w:rPr>
              <w:t>有效</w:t>
            </w:r>
          </w:p>
        </w:tc>
      </w:tr>
      <w:tr>
        <w:tblPrEx>
          <w:tblLayout w:type="fixed"/>
          <w:tblCellMar>
            <w:top w:w="0" w:type="dxa"/>
            <w:left w:w="108" w:type="dxa"/>
            <w:bottom w:w="0" w:type="dxa"/>
            <w:right w:w="108" w:type="dxa"/>
          </w:tblCellMar>
        </w:tblPrEx>
        <w:trPr>
          <w:trHeight w:val="1077" w:hRule="atLeast"/>
          <w:jc w:val="center"/>
        </w:trPr>
        <w:tc>
          <w:tcPr>
            <w:tcW w:w="79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szCs w:val="21"/>
              </w:rPr>
            </w:pPr>
            <w:r>
              <w:rPr>
                <w:rFonts w:hint="eastAsia" w:ascii="Calibri" w:hAnsi="Calibri" w:eastAsia="宋体" w:cs="Times New Roman"/>
                <w:szCs w:val="21"/>
              </w:rPr>
              <w:t>实用新型专利</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控制考古现场出土脆弱文物保存环境的便携式装备</w:t>
            </w:r>
          </w:p>
        </w:tc>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ascii="Calibri" w:hAnsi="Calibri" w:eastAsia="宋体" w:cs="Times New Roman"/>
                <w:szCs w:val="21"/>
              </w:rPr>
              <w:t>中国</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ZL2011 2 0459017.5</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2012年8月15日</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2355995</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中国科学院上海硅酸盐研究所、秦始皇帝陵博物院</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罗宏杰、李伟东、周铁、容波</w:t>
            </w:r>
          </w:p>
        </w:tc>
        <w:tc>
          <w:tcPr>
            <w:tcW w:w="1140"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left"/>
              <w:rPr>
                <w:szCs w:val="21"/>
              </w:rPr>
            </w:pPr>
            <w:r>
              <w:rPr>
                <w:rFonts w:hint="eastAsia" w:ascii="Calibri" w:hAnsi="Calibri" w:eastAsia="宋体" w:cs="Times New Roman"/>
                <w:szCs w:val="21"/>
              </w:rPr>
              <w:t>有效</w:t>
            </w:r>
          </w:p>
        </w:tc>
      </w:tr>
      <w:tr>
        <w:tblPrEx>
          <w:tblLayout w:type="fixed"/>
          <w:tblCellMar>
            <w:top w:w="0" w:type="dxa"/>
            <w:left w:w="108" w:type="dxa"/>
            <w:bottom w:w="0" w:type="dxa"/>
            <w:right w:w="108" w:type="dxa"/>
          </w:tblCellMar>
        </w:tblPrEx>
        <w:trPr>
          <w:trHeight w:val="1077" w:hRule="atLeast"/>
          <w:jc w:val="center"/>
        </w:trPr>
        <w:tc>
          <w:tcPr>
            <w:tcW w:w="79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Calibri" w:hAnsi="Calibri" w:eastAsia="宋体" w:cs="Times New Roman"/>
                <w:szCs w:val="21"/>
              </w:rPr>
            </w:pPr>
            <w:r>
              <w:rPr>
                <w:rFonts w:hint="eastAsia" w:ascii="Calibri" w:hAnsi="Calibri" w:eastAsia="宋体" w:cs="Times New Roman"/>
                <w:szCs w:val="21"/>
              </w:rPr>
              <w:t>发明专利</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具有梯度熔点的复合材料及其对发掘现场文物加固的用途</w:t>
            </w:r>
          </w:p>
        </w:tc>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szCs w:val="21"/>
              </w:rPr>
            </w:pPr>
            <w:r>
              <w:rPr>
                <w:rFonts w:hint="eastAsia" w:ascii="Calibri" w:hAnsi="Calibri" w:eastAsia="宋体" w:cs="Times New Roman"/>
                <w:szCs w:val="21"/>
              </w:rPr>
              <w:t>中国</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ZL2015 1 0093729.2</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2016年8月17日</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2168754</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中国科学院上海高等研究院、</w:t>
            </w:r>
          </w:p>
          <w:p>
            <w:pPr>
              <w:widowControl/>
              <w:jc w:val="left"/>
              <w:rPr>
                <w:szCs w:val="21"/>
              </w:rPr>
            </w:pPr>
            <w:r>
              <w:rPr>
                <w:rFonts w:hint="eastAsia"/>
                <w:szCs w:val="21"/>
              </w:rPr>
              <w:t>、秦始皇帝陵博物院</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姜标、周小安、周铁、容波</w:t>
            </w:r>
          </w:p>
        </w:tc>
        <w:tc>
          <w:tcPr>
            <w:tcW w:w="1140"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left"/>
              <w:rPr>
                <w:rFonts w:ascii="Calibri" w:hAnsi="Calibri" w:eastAsia="宋体" w:cs="Times New Roman"/>
                <w:szCs w:val="21"/>
              </w:rPr>
            </w:pPr>
            <w:r>
              <w:rPr>
                <w:rFonts w:hint="eastAsia" w:ascii="Calibri" w:hAnsi="Calibri" w:eastAsia="宋体" w:cs="Times New Roman"/>
                <w:szCs w:val="21"/>
              </w:rPr>
              <w:t>有效</w:t>
            </w:r>
          </w:p>
        </w:tc>
      </w:tr>
      <w:tr>
        <w:tblPrEx>
          <w:tblLayout w:type="fixed"/>
          <w:tblCellMar>
            <w:top w:w="0" w:type="dxa"/>
            <w:left w:w="108" w:type="dxa"/>
            <w:bottom w:w="0" w:type="dxa"/>
            <w:right w:w="108" w:type="dxa"/>
          </w:tblCellMar>
        </w:tblPrEx>
        <w:trPr>
          <w:trHeight w:val="1077" w:hRule="atLeast"/>
          <w:jc w:val="center"/>
        </w:trPr>
        <w:tc>
          <w:tcPr>
            <w:tcW w:w="79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Calibri" w:hAnsi="Calibri" w:eastAsia="宋体" w:cs="Times New Roman"/>
                <w:szCs w:val="21"/>
              </w:rPr>
            </w:pPr>
            <w:r>
              <w:rPr>
                <w:rFonts w:hint="eastAsia" w:ascii="Calibri" w:hAnsi="Calibri" w:eastAsia="宋体" w:cs="Times New Roman"/>
                <w:szCs w:val="21"/>
              </w:rPr>
              <w:t>发明专利</w:t>
            </w:r>
          </w:p>
        </w:tc>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一类加固材料对发掘现场文物进行临时加固的应用和方法</w:t>
            </w:r>
          </w:p>
        </w:tc>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alibri" w:hAnsi="Calibri" w:eastAsia="宋体" w:cs="Times New Roman"/>
                <w:szCs w:val="21"/>
              </w:rPr>
            </w:pPr>
            <w:r>
              <w:rPr>
                <w:rFonts w:hint="eastAsia" w:ascii="Calibri" w:hAnsi="Calibri" w:eastAsia="宋体" w:cs="Times New Roman"/>
                <w:szCs w:val="21"/>
              </w:rPr>
              <w:t>中国</w:t>
            </w:r>
          </w:p>
        </w:tc>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ZL2015 1 0039823.X</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2016年7月13日</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2146701</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中国科学院上海高等研究院、</w:t>
            </w:r>
          </w:p>
          <w:p>
            <w:pPr>
              <w:widowControl/>
              <w:jc w:val="left"/>
              <w:rPr>
                <w:szCs w:val="21"/>
              </w:rPr>
            </w:pPr>
            <w:r>
              <w:rPr>
                <w:rFonts w:hint="eastAsia"/>
                <w:szCs w:val="21"/>
              </w:rPr>
              <w:t>、秦始皇帝陵博物院</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szCs w:val="21"/>
              </w:rPr>
            </w:pPr>
            <w:r>
              <w:rPr>
                <w:rFonts w:hint="eastAsia"/>
                <w:szCs w:val="21"/>
              </w:rPr>
              <w:t>姜标、周小安、周铁、容波</w:t>
            </w:r>
          </w:p>
        </w:tc>
        <w:tc>
          <w:tcPr>
            <w:tcW w:w="1140"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left"/>
              <w:rPr>
                <w:rFonts w:ascii="Calibri" w:hAnsi="Calibri" w:eastAsia="宋体" w:cs="Times New Roman"/>
                <w:szCs w:val="21"/>
              </w:rPr>
            </w:pPr>
            <w:r>
              <w:rPr>
                <w:rFonts w:hint="eastAsia" w:ascii="Calibri" w:hAnsi="Calibri" w:eastAsia="宋体" w:cs="Times New Roman"/>
                <w:szCs w:val="21"/>
              </w:rPr>
              <w:t>有效</w:t>
            </w:r>
          </w:p>
        </w:tc>
      </w:tr>
    </w:tbl>
    <w:p>
      <w:pPr>
        <w:pStyle w:val="4"/>
        <w:widowControl/>
        <w:spacing w:beforeAutospacing="0" w:afterAutospacing="0" w:line="360" w:lineRule="auto"/>
        <w:ind w:left="150" w:right="150"/>
        <w:rPr>
          <w:rFonts w:ascii="宋体" w:hAnsi="宋体" w:eastAsia="宋体"/>
          <w:color w:val="0D0D0D"/>
          <w:kern w:val="2"/>
          <w:sz w:val="28"/>
          <w:szCs w:val="21"/>
        </w:rPr>
      </w:pPr>
      <w:r>
        <w:rPr>
          <w:rFonts w:hint="eastAsia" w:ascii="宋体" w:hAnsi="宋体" w:eastAsia="宋体"/>
          <w:color w:val="0D0D0D"/>
          <w:kern w:val="2"/>
          <w:sz w:val="28"/>
          <w:szCs w:val="21"/>
        </w:rPr>
        <w:t>（六）发表文章</w:t>
      </w:r>
    </w:p>
    <w:p>
      <w:pPr>
        <w:pStyle w:val="4"/>
        <w:widowControl/>
        <w:spacing w:beforeAutospacing="0" w:afterAutospacing="0" w:line="360" w:lineRule="auto"/>
        <w:ind w:right="150"/>
        <w:rPr>
          <w:rFonts w:ascii="宋体" w:hAnsi="宋体" w:eastAsia="宋体"/>
          <w:color w:val="0D0D0D"/>
          <w:kern w:val="2"/>
          <w:sz w:val="21"/>
          <w:szCs w:val="21"/>
        </w:rPr>
      </w:pPr>
      <w:r>
        <w:rPr>
          <w:rFonts w:hint="eastAsia" w:ascii="宋体" w:hAnsi="宋体" w:eastAsia="宋体"/>
          <w:color w:val="0D0D0D"/>
          <w:kern w:val="2"/>
          <w:sz w:val="21"/>
          <w:szCs w:val="21"/>
        </w:rPr>
        <w:t>[1]容波,吴茨·鲁佩尔特,朱振宇,李斌,王春燕,王婷.  秦俑二号坑土壤干缩特征研究[J]. 北方文物. 2012(01).</w:t>
      </w:r>
    </w:p>
    <w:p>
      <w:pPr>
        <w:pStyle w:val="4"/>
        <w:widowControl/>
        <w:spacing w:beforeAutospacing="0" w:afterAutospacing="0" w:line="360" w:lineRule="auto"/>
        <w:ind w:right="150"/>
        <w:rPr>
          <w:rFonts w:ascii="宋体" w:hAnsi="宋体" w:eastAsia="宋体"/>
          <w:color w:val="0D0D0D"/>
          <w:kern w:val="2"/>
          <w:sz w:val="21"/>
          <w:szCs w:val="21"/>
        </w:rPr>
      </w:pPr>
      <w:r>
        <w:rPr>
          <w:rFonts w:hint="eastAsia" w:ascii="宋体" w:hAnsi="宋体" w:eastAsia="宋体"/>
          <w:color w:val="0D0D0D"/>
          <w:kern w:val="2"/>
          <w:sz w:val="21"/>
          <w:szCs w:val="21"/>
        </w:rPr>
        <w:t>[2]容波,王春燕,李华,秦俑坑考古发掘现场脆弱遗迹提取保护[A].《秦始皇帝陵博物院院刊》,2012年总壹辑.</w:t>
      </w:r>
    </w:p>
    <w:p>
      <w:pPr>
        <w:pStyle w:val="4"/>
        <w:widowControl/>
        <w:spacing w:beforeAutospacing="0" w:afterAutospacing="0" w:line="360" w:lineRule="auto"/>
        <w:ind w:right="150"/>
        <w:rPr>
          <w:rFonts w:ascii="宋体" w:hAnsi="宋体" w:eastAsia="宋体"/>
          <w:color w:val="0D0D0D"/>
          <w:kern w:val="2"/>
          <w:sz w:val="21"/>
          <w:szCs w:val="21"/>
        </w:rPr>
      </w:pPr>
      <w:r>
        <w:rPr>
          <w:rFonts w:hint="eastAsia" w:ascii="宋体" w:hAnsi="宋体" w:eastAsia="宋体"/>
          <w:color w:val="0D0D0D"/>
          <w:kern w:val="2"/>
          <w:sz w:val="21"/>
          <w:szCs w:val="21"/>
        </w:rPr>
        <w:t>[3]罗宏杰,韩向娜,黄晓,李伟东.环十二烷在文物保护中的应用进展[J]. 中国材料进展. 2012(11).</w:t>
      </w:r>
    </w:p>
    <w:p>
      <w:pPr>
        <w:pStyle w:val="4"/>
        <w:widowControl/>
        <w:spacing w:beforeAutospacing="0" w:afterAutospacing="0" w:line="360" w:lineRule="auto"/>
        <w:ind w:right="150"/>
        <w:rPr>
          <w:rFonts w:ascii="宋体" w:hAnsi="宋体" w:eastAsia="宋体"/>
          <w:color w:val="0D0D0D"/>
          <w:kern w:val="2"/>
          <w:sz w:val="21"/>
          <w:szCs w:val="21"/>
        </w:rPr>
      </w:pPr>
      <w:r>
        <w:rPr>
          <w:rFonts w:hint="eastAsia" w:ascii="宋体" w:hAnsi="宋体" w:eastAsia="宋体"/>
          <w:color w:val="0D0D0D"/>
          <w:kern w:val="2"/>
          <w:sz w:val="21"/>
          <w:szCs w:val="21"/>
        </w:rPr>
        <w:t>[4]韩向娜,黄晓 ,罗宏杰.薄荷醇作为临时性加固材料在文物保护中的应用,古陶瓷科学技术国际讨论会,2012</w:t>
      </w:r>
    </w:p>
    <w:p>
      <w:pPr>
        <w:pStyle w:val="4"/>
        <w:widowControl/>
        <w:spacing w:beforeAutospacing="0" w:afterAutospacing="0" w:line="360" w:lineRule="auto"/>
        <w:ind w:right="150"/>
        <w:rPr>
          <w:rFonts w:ascii="宋体" w:hAnsi="宋体" w:eastAsia="宋体"/>
          <w:color w:val="0D0D0D"/>
          <w:kern w:val="2"/>
          <w:sz w:val="21"/>
          <w:szCs w:val="21"/>
        </w:rPr>
      </w:pPr>
      <w:r>
        <w:rPr>
          <w:rFonts w:hint="eastAsia" w:ascii="宋体" w:hAnsi="宋体" w:eastAsia="宋体"/>
          <w:color w:val="0D0D0D"/>
          <w:kern w:val="2"/>
          <w:sz w:val="21"/>
          <w:szCs w:val="21"/>
        </w:rPr>
        <w:t>[5]王春燕,罗晓艳,容波,李华.薄荷醇及其衍生物在考古现场脆弱遗迹加固中的应用[J]. 北方文物. 2013(04).</w:t>
      </w:r>
    </w:p>
    <w:p>
      <w:pPr>
        <w:pStyle w:val="4"/>
        <w:widowControl/>
        <w:spacing w:beforeAutospacing="0" w:afterAutospacing="0" w:line="360" w:lineRule="auto"/>
        <w:ind w:right="150"/>
        <w:rPr>
          <w:rFonts w:ascii="宋体" w:hAnsi="宋体" w:eastAsia="宋体"/>
          <w:color w:val="0D0D0D"/>
          <w:kern w:val="2"/>
          <w:sz w:val="21"/>
          <w:szCs w:val="21"/>
        </w:rPr>
      </w:pPr>
      <w:r>
        <w:rPr>
          <w:rFonts w:hint="eastAsia" w:ascii="宋体" w:hAnsi="宋体" w:eastAsia="宋体"/>
          <w:color w:val="0D0D0D"/>
          <w:kern w:val="2"/>
          <w:sz w:val="21"/>
          <w:szCs w:val="21"/>
        </w:rPr>
        <w:t>[6]王春燕,惠娜,容波,李斌,朱振宇.薄荷醇及其衍生物对彩绘遗迹表面的影响[J]. 文博. 2013(04).</w:t>
      </w:r>
    </w:p>
    <w:p>
      <w:pPr>
        <w:pStyle w:val="4"/>
        <w:widowControl/>
        <w:spacing w:beforeAutospacing="0" w:afterAutospacing="0" w:line="360" w:lineRule="auto"/>
        <w:ind w:right="150"/>
        <w:rPr>
          <w:rFonts w:ascii="宋体" w:hAnsi="宋体" w:eastAsia="宋体"/>
          <w:color w:val="0D0D0D"/>
          <w:kern w:val="2"/>
          <w:sz w:val="21"/>
          <w:szCs w:val="21"/>
        </w:rPr>
      </w:pPr>
      <w:r>
        <w:rPr>
          <w:rFonts w:hint="eastAsia" w:ascii="宋体" w:hAnsi="宋体" w:eastAsia="宋体"/>
          <w:color w:val="0D0D0D"/>
          <w:kern w:val="2"/>
          <w:sz w:val="21"/>
          <w:szCs w:val="21"/>
        </w:rPr>
        <w:t xml:space="preserve">[7]X. HAN，B. RONG,X. HUANG,T. ZHOU,H. LUO and C. WANG, The use of menthol as temporary consolidate in the excavation of Qin Shihuang`s terracotta army[J].Archaeometry 2013,12. </w:t>
      </w:r>
    </w:p>
    <w:p>
      <w:pPr>
        <w:pStyle w:val="4"/>
        <w:widowControl/>
        <w:spacing w:beforeAutospacing="0" w:afterAutospacing="0" w:line="360" w:lineRule="auto"/>
        <w:ind w:right="150"/>
        <w:rPr>
          <w:rFonts w:ascii="宋体" w:hAnsi="宋体" w:eastAsia="宋体"/>
          <w:color w:val="0D0D0D"/>
          <w:kern w:val="2"/>
          <w:sz w:val="21"/>
          <w:szCs w:val="21"/>
        </w:rPr>
      </w:pPr>
      <w:r>
        <w:rPr>
          <w:rFonts w:hint="eastAsia" w:ascii="宋体" w:hAnsi="宋体" w:eastAsia="宋体"/>
          <w:color w:val="0D0D0D"/>
          <w:kern w:val="2"/>
          <w:sz w:val="21"/>
          <w:szCs w:val="21"/>
        </w:rPr>
        <w:t>[8]周珺,容波.薄荷醇在考古发掘现场脆弱遗迹提取的安全性研究——以秦俑一号坑遗迹为例[J].西北大学研究生学位论文,2015(04).</w:t>
      </w:r>
    </w:p>
    <w:p>
      <w:pPr>
        <w:pStyle w:val="4"/>
        <w:widowControl/>
        <w:spacing w:beforeAutospacing="0" w:afterAutospacing="0" w:line="360" w:lineRule="auto"/>
        <w:ind w:right="150"/>
        <w:rPr>
          <w:rFonts w:ascii="宋体" w:hAnsi="宋体" w:eastAsia="宋体"/>
          <w:color w:val="0D0D0D"/>
          <w:kern w:val="2"/>
          <w:sz w:val="21"/>
          <w:szCs w:val="21"/>
        </w:rPr>
      </w:pPr>
      <w:r>
        <w:rPr>
          <w:rFonts w:hint="eastAsia" w:ascii="宋体" w:hAnsi="宋体" w:eastAsia="宋体"/>
          <w:color w:val="0D0D0D"/>
          <w:kern w:val="2"/>
          <w:sz w:val="21"/>
          <w:szCs w:val="21"/>
        </w:rPr>
        <w:t>[9]Xiangna Han. The use of menthol on the archaeological site at the Mausoleum of the First Qin Emperor. Studies in Conservation [J].2014, 59(Supplement 1) s223-s224.</w:t>
      </w:r>
    </w:p>
    <w:p>
      <w:pPr>
        <w:pStyle w:val="4"/>
        <w:widowControl/>
        <w:spacing w:beforeAutospacing="0" w:afterAutospacing="0" w:line="360" w:lineRule="auto"/>
        <w:ind w:right="150"/>
        <w:rPr>
          <w:rFonts w:ascii="宋体" w:hAnsi="宋体" w:eastAsia="宋体"/>
          <w:color w:val="0D0D0D"/>
          <w:kern w:val="2"/>
          <w:sz w:val="21"/>
          <w:szCs w:val="21"/>
        </w:rPr>
      </w:pPr>
      <w:r>
        <w:rPr>
          <w:rFonts w:hint="eastAsia" w:ascii="宋体" w:hAnsi="宋体" w:eastAsia="宋体"/>
          <w:color w:val="0D0D0D"/>
          <w:kern w:val="2"/>
          <w:sz w:val="21"/>
          <w:szCs w:val="21"/>
        </w:rPr>
        <w:t>[10]容波,韩向娜,黄晓,王春燕. 薄荷醇提取发掘现场脆弱遗迹及其安全性研究[J]. 江汉考古. 2016(01).</w:t>
      </w:r>
    </w:p>
    <w:p>
      <w:pPr>
        <w:pStyle w:val="4"/>
        <w:widowControl/>
        <w:spacing w:beforeAutospacing="0" w:afterAutospacing="0" w:line="360" w:lineRule="auto"/>
        <w:ind w:right="150"/>
        <w:rPr>
          <w:rFonts w:ascii="宋体" w:hAnsi="宋体" w:eastAsia="宋体"/>
          <w:color w:val="0D0D0D"/>
          <w:kern w:val="2"/>
          <w:sz w:val="21"/>
          <w:szCs w:val="21"/>
        </w:rPr>
      </w:pPr>
      <w:r>
        <w:rPr>
          <w:rFonts w:hint="eastAsia" w:ascii="宋体" w:hAnsi="宋体" w:eastAsia="宋体"/>
          <w:color w:val="0D0D0D"/>
          <w:kern w:val="2"/>
          <w:sz w:val="21"/>
          <w:szCs w:val="21"/>
        </w:rPr>
        <w:t>[11]Xiangna Han , Xiao Huang , Bingjian Zhang ,Morphological studies of menthol as a temporary consolidant for urgent conservation in archaeological field[J].Journal of Cultural Heritage 18 (2016) 271–278.</w:t>
      </w:r>
    </w:p>
    <w:p>
      <w:pPr>
        <w:pStyle w:val="4"/>
        <w:widowControl/>
        <w:spacing w:beforeAutospacing="0" w:afterAutospacing="0" w:line="360" w:lineRule="auto"/>
        <w:ind w:right="150"/>
        <w:rPr>
          <w:rFonts w:ascii="宋体" w:hAnsi="宋体" w:eastAsia="宋体"/>
          <w:color w:val="0D0D0D"/>
          <w:kern w:val="2"/>
          <w:sz w:val="21"/>
          <w:szCs w:val="21"/>
        </w:rPr>
      </w:pPr>
      <w:r>
        <w:rPr>
          <w:rFonts w:hint="eastAsia" w:ascii="宋体" w:hAnsi="宋体" w:eastAsia="宋体"/>
          <w:color w:val="0D0D0D"/>
          <w:kern w:val="2"/>
          <w:sz w:val="21"/>
          <w:szCs w:val="21"/>
        </w:rPr>
        <w:t>[12]Xiangna Han, Xiao Huang, Bingjian Zhang. Laboratory research of menthol as a temporary consolidant for archaeological excavation conservation. Archaeometry [J](2016)368-379</w:t>
      </w:r>
    </w:p>
    <w:p>
      <w:pPr>
        <w:pStyle w:val="4"/>
        <w:widowControl/>
        <w:spacing w:beforeAutospacing="0" w:afterAutospacing="0" w:line="360" w:lineRule="auto"/>
        <w:ind w:right="150"/>
        <w:rPr>
          <w:rFonts w:ascii="宋体" w:hAnsi="宋体" w:eastAsia="宋体"/>
          <w:color w:val="0D0D0D"/>
          <w:kern w:val="2"/>
          <w:sz w:val="21"/>
          <w:szCs w:val="21"/>
        </w:rPr>
      </w:pPr>
      <w:r>
        <w:rPr>
          <w:rFonts w:hint="eastAsia" w:ascii="宋体" w:hAnsi="宋体" w:eastAsia="宋体"/>
          <w:color w:val="0D0D0D"/>
          <w:kern w:val="2"/>
          <w:sz w:val="21"/>
          <w:szCs w:val="21"/>
        </w:rPr>
        <w:t>[13]容波,周珺,刘成.考古发掘现场出土脆弱遗迹提取方法研究述评.文物保护与考古科学[J]. 2016（3）</w:t>
      </w:r>
    </w:p>
    <w:p>
      <w:pPr>
        <w:pStyle w:val="4"/>
        <w:widowControl/>
        <w:spacing w:beforeAutospacing="0" w:afterAutospacing="0" w:line="360" w:lineRule="auto"/>
        <w:ind w:right="150"/>
        <w:rPr>
          <w:rFonts w:ascii="宋体" w:hAnsi="宋体" w:eastAsia="宋体"/>
          <w:color w:val="0D0D0D"/>
          <w:kern w:val="2"/>
          <w:sz w:val="21"/>
          <w:szCs w:val="21"/>
        </w:rPr>
      </w:pPr>
      <w:r>
        <w:rPr>
          <w:rFonts w:hint="eastAsia" w:ascii="宋体" w:hAnsi="宋体" w:eastAsia="宋体"/>
          <w:color w:val="0D0D0D"/>
          <w:kern w:val="2"/>
          <w:sz w:val="21"/>
          <w:szCs w:val="21"/>
        </w:rPr>
        <w:t>[14]韩向娜, 张秉坚, 罗宏杰, 黄晓，苏伯民. 薄荷醇在墓葬壁画抢救性揭取上的应用研究.敦煌研究[J] 2016.9</w:t>
      </w:r>
    </w:p>
    <w:p>
      <w:pPr>
        <w:pStyle w:val="4"/>
        <w:widowControl/>
        <w:spacing w:beforeAutospacing="0" w:afterAutospacing="0" w:line="360" w:lineRule="auto"/>
        <w:ind w:right="150"/>
        <w:rPr>
          <w:rFonts w:ascii="宋体" w:hAnsi="宋体" w:eastAsia="宋体"/>
          <w:color w:val="0D0D0D"/>
          <w:kern w:val="2"/>
          <w:sz w:val="21"/>
          <w:szCs w:val="21"/>
        </w:rPr>
      </w:pPr>
      <w:r>
        <w:rPr>
          <w:rFonts w:hint="eastAsia" w:ascii="宋体" w:hAnsi="宋体" w:eastAsia="宋体"/>
          <w:color w:val="0D0D0D"/>
          <w:kern w:val="2"/>
          <w:sz w:val="21"/>
          <w:szCs w:val="21"/>
        </w:rPr>
        <w:t>[15]秦始皇帝陵博物院，中国科学院上海硅酸盐研究所，中国科学院上海有机化学研究所，等《出土陶质彩绘文物保护关键技术研究》，科学出版社，2014年11月.</w:t>
      </w:r>
    </w:p>
    <w:p>
      <w:pPr>
        <w:pStyle w:val="4"/>
        <w:widowControl/>
        <w:spacing w:beforeAutospacing="0" w:afterAutospacing="0" w:line="360" w:lineRule="auto"/>
        <w:ind w:left="150" w:right="150"/>
        <w:rPr>
          <w:rFonts w:ascii="宋体" w:hAnsi="宋体" w:eastAsia="宋体"/>
          <w:color w:val="0D0D0D"/>
          <w:kern w:val="2"/>
          <w:sz w:val="28"/>
          <w:szCs w:val="21"/>
        </w:rPr>
      </w:pPr>
      <w:r>
        <w:rPr>
          <w:rFonts w:hint="eastAsia" w:ascii="宋体" w:hAnsi="宋体" w:eastAsia="宋体"/>
          <w:color w:val="0D0D0D"/>
          <w:kern w:val="2"/>
          <w:sz w:val="28"/>
          <w:szCs w:val="21"/>
        </w:rPr>
        <w:t>（七）推广应用情况</w:t>
      </w:r>
    </w:p>
    <w:p>
      <w:pPr>
        <w:pStyle w:val="4"/>
        <w:widowControl/>
        <w:spacing w:beforeAutospacing="0" w:afterAutospacing="0" w:line="360" w:lineRule="auto"/>
        <w:ind w:right="150"/>
        <w:rPr>
          <w:rFonts w:ascii="宋体" w:hAnsi="宋体" w:eastAsia="宋体"/>
          <w:color w:val="0D0D0D"/>
          <w:kern w:val="2"/>
          <w:sz w:val="28"/>
          <w:szCs w:val="21"/>
        </w:rPr>
      </w:pPr>
      <w:r>
        <w:rPr>
          <w:rFonts w:hint="eastAsia" w:ascii="宋体" w:hAnsi="宋体" w:eastAsia="宋体"/>
          <w:color w:val="0D0D0D"/>
          <w:kern w:val="2"/>
          <w:sz w:val="28"/>
          <w:szCs w:val="21"/>
        </w:rPr>
        <w:t xml:space="preserve">    近年来，利用薄荷醇材料以及提取技术，成功提取了46处脆弱性文物，得到文物所在单位的一致好评，用户证明文件见附件7。</w:t>
      </w:r>
    </w:p>
    <w:tbl>
      <w:tblPr>
        <w:tblStyle w:val="6"/>
        <w:tblW w:w="9022" w:type="dxa"/>
        <w:jc w:val="center"/>
        <w:tblInd w:w="-546" w:type="dxa"/>
        <w:tblLayout w:type="fixed"/>
        <w:tblCellMar>
          <w:top w:w="0" w:type="dxa"/>
          <w:left w:w="108" w:type="dxa"/>
          <w:bottom w:w="0" w:type="dxa"/>
          <w:right w:w="108" w:type="dxa"/>
        </w:tblCellMar>
      </w:tblPr>
      <w:tblGrid>
        <w:gridCol w:w="1984"/>
        <w:gridCol w:w="2011"/>
        <w:gridCol w:w="1275"/>
        <w:gridCol w:w="1534"/>
        <w:gridCol w:w="2218"/>
      </w:tblGrid>
      <w:tr>
        <w:tblPrEx>
          <w:tblLayout w:type="fixed"/>
          <w:tblCellMar>
            <w:top w:w="0" w:type="dxa"/>
            <w:left w:w="108" w:type="dxa"/>
            <w:bottom w:w="0" w:type="dxa"/>
            <w:right w:w="108" w:type="dxa"/>
          </w:tblCellMar>
        </w:tblPrEx>
        <w:trPr>
          <w:jc w:val="center"/>
        </w:trPr>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widowControl/>
              <w:spacing w:beforeAutospacing="0" w:afterAutospacing="0"/>
              <w:jc w:val="center"/>
              <w:rPr>
                <w:sz w:val="21"/>
                <w:szCs w:val="21"/>
              </w:rPr>
            </w:pPr>
            <w:r>
              <w:rPr>
                <w:rFonts w:hint="eastAsia" w:ascii="宋体" w:hAnsi="宋体" w:eastAsia="宋体"/>
                <w:b/>
                <w:color w:val="0D0D0D"/>
                <w:kern w:val="2"/>
                <w:sz w:val="21"/>
                <w:szCs w:val="21"/>
              </w:rPr>
              <w:t>应用单位名称</w:t>
            </w:r>
          </w:p>
        </w:tc>
        <w:tc>
          <w:tcPr>
            <w:tcW w:w="2011" w:type="dxa"/>
            <w:tcBorders>
              <w:top w:val="single" w:color="auto" w:sz="4" w:space="0"/>
              <w:left w:val="nil"/>
              <w:bottom w:val="single" w:color="auto" w:sz="4" w:space="0"/>
              <w:right w:val="single" w:color="auto" w:sz="4" w:space="0"/>
            </w:tcBorders>
            <w:shd w:val="clear" w:color="auto" w:fill="auto"/>
            <w:vAlign w:val="center"/>
          </w:tcPr>
          <w:p>
            <w:pPr>
              <w:pStyle w:val="4"/>
              <w:widowControl/>
              <w:spacing w:beforeAutospacing="0" w:afterAutospacing="0"/>
              <w:jc w:val="center"/>
              <w:rPr>
                <w:sz w:val="21"/>
                <w:szCs w:val="21"/>
              </w:rPr>
            </w:pPr>
            <w:r>
              <w:rPr>
                <w:rFonts w:hint="eastAsia" w:ascii="宋体" w:hAnsi="宋体" w:eastAsia="宋体"/>
                <w:b/>
                <w:color w:val="0D0D0D"/>
                <w:kern w:val="2"/>
                <w:sz w:val="21"/>
                <w:szCs w:val="21"/>
              </w:rPr>
              <w:t>应用技术</w:t>
            </w:r>
          </w:p>
        </w:tc>
        <w:tc>
          <w:tcPr>
            <w:tcW w:w="1275" w:type="dxa"/>
            <w:tcBorders>
              <w:top w:val="single" w:color="auto" w:sz="4" w:space="0"/>
              <w:left w:val="nil"/>
              <w:bottom w:val="single" w:color="auto" w:sz="4" w:space="0"/>
              <w:right w:val="single" w:color="auto" w:sz="4" w:space="0"/>
            </w:tcBorders>
            <w:shd w:val="clear" w:color="auto" w:fill="auto"/>
            <w:vAlign w:val="center"/>
          </w:tcPr>
          <w:p>
            <w:pPr>
              <w:pStyle w:val="4"/>
              <w:widowControl/>
              <w:spacing w:beforeAutospacing="0" w:afterAutospacing="0"/>
              <w:jc w:val="center"/>
              <w:rPr>
                <w:sz w:val="21"/>
                <w:szCs w:val="21"/>
              </w:rPr>
            </w:pPr>
            <w:r>
              <w:rPr>
                <w:rFonts w:hint="eastAsia" w:ascii="宋体" w:hAnsi="宋体" w:eastAsia="宋体"/>
                <w:b/>
                <w:color w:val="0D0D0D"/>
                <w:kern w:val="2"/>
                <w:sz w:val="21"/>
                <w:szCs w:val="21"/>
              </w:rPr>
              <w:t>应用的起止时间</w:t>
            </w:r>
          </w:p>
        </w:tc>
        <w:tc>
          <w:tcPr>
            <w:tcW w:w="1534" w:type="dxa"/>
            <w:tcBorders>
              <w:top w:val="single" w:color="auto" w:sz="4" w:space="0"/>
              <w:left w:val="nil"/>
              <w:bottom w:val="single" w:color="auto" w:sz="4" w:space="0"/>
              <w:right w:val="single" w:color="auto" w:sz="4" w:space="0"/>
            </w:tcBorders>
            <w:shd w:val="clear" w:color="auto" w:fill="auto"/>
            <w:vAlign w:val="center"/>
          </w:tcPr>
          <w:p>
            <w:pPr>
              <w:pStyle w:val="4"/>
              <w:widowControl/>
              <w:spacing w:beforeAutospacing="0" w:afterAutospacing="0"/>
              <w:jc w:val="center"/>
              <w:rPr>
                <w:sz w:val="21"/>
                <w:szCs w:val="21"/>
              </w:rPr>
            </w:pPr>
            <w:r>
              <w:rPr>
                <w:rFonts w:hint="eastAsia" w:ascii="宋体" w:hAnsi="宋体" w:eastAsia="宋体"/>
                <w:b/>
                <w:color w:val="0D0D0D"/>
                <w:kern w:val="2"/>
                <w:sz w:val="21"/>
                <w:szCs w:val="21"/>
              </w:rPr>
              <w:t>应用单位联系人/电话</w:t>
            </w:r>
          </w:p>
        </w:tc>
        <w:tc>
          <w:tcPr>
            <w:tcW w:w="2218" w:type="dxa"/>
            <w:tcBorders>
              <w:top w:val="single" w:color="auto" w:sz="4" w:space="0"/>
              <w:left w:val="nil"/>
              <w:bottom w:val="single" w:color="auto" w:sz="4" w:space="0"/>
              <w:right w:val="single" w:color="auto" w:sz="4" w:space="0"/>
            </w:tcBorders>
            <w:shd w:val="clear" w:color="auto" w:fill="auto"/>
            <w:vAlign w:val="center"/>
          </w:tcPr>
          <w:p>
            <w:pPr>
              <w:pStyle w:val="4"/>
              <w:widowControl/>
              <w:spacing w:beforeAutospacing="0" w:afterAutospacing="0"/>
              <w:jc w:val="center"/>
              <w:rPr>
                <w:sz w:val="21"/>
                <w:szCs w:val="21"/>
              </w:rPr>
            </w:pPr>
            <w:r>
              <w:rPr>
                <w:rFonts w:hint="eastAsia" w:ascii="宋体" w:hAnsi="宋体" w:eastAsia="宋体"/>
                <w:b/>
                <w:color w:val="0D0D0D"/>
                <w:kern w:val="2"/>
                <w:sz w:val="21"/>
                <w:szCs w:val="21"/>
              </w:rPr>
              <w:t>应用情况</w:t>
            </w:r>
          </w:p>
        </w:tc>
      </w:tr>
      <w:tr>
        <w:tblPrEx>
          <w:tblLayout w:type="fixed"/>
          <w:tblCellMar>
            <w:top w:w="0" w:type="dxa"/>
            <w:left w:w="108" w:type="dxa"/>
            <w:bottom w:w="0" w:type="dxa"/>
            <w:right w:w="108" w:type="dxa"/>
          </w:tblCellMar>
        </w:tblPrEx>
        <w:trPr>
          <w:jc w:val="center"/>
        </w:trPr>
        <w:tc>
          <w:tcPr>
            <w:tcW w:w="1984" w:type="dxa"/>
            <w:tcBorders>
              <w:top w:val="single" w:color="auto" w:sz="4" w:space="0"/>
              <w:left w:val="single" w:color="auto" w:sz="4" w:space="0"/>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秦始皇帝陵博物院</w:t>
            </w:r>
          </w:p>
        </w:tc>
        <w:tc>
          <w:tcPr>
            <w:tcW w:w="2011"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左旋薄荷醇应用于秦俑一号坑出土遗迹提取</w:t>
            </w:r>
          </w:p>
        </w:tc>
        <w:tc>
          <w:tcPr>
            <w:tcW w:w="1275"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ascii="宋体" w:hAnsi="宋体" w:eastAsia="宋体"/>
                <w:color w:val="0D0D0D"/>
                <w:kern w:val="2"/>
                <w:sz w:val="21"/>
                <w:szCs w:val="21"/>
              </w:rPr>
              <w:t>2010年—2014年</w:t>
            </w:r>
          </w:p>
        </w:tc>
        <w:tc>
          <w:tcPr>
            <w:tcW w:w="1534"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ascii="宋体" w:hAnsi="宋体" w:eastAsia="宋体"/>
                <w:color w:val="0D0D0D"/>
                <w:kern w:val="2"/>
                <w:sz w:val="21"/>
                <w:szCs w:val="21"/>
              </w:rPr>
              <w:t>王春燕029-81399252</w:t>
            </w:r>
          </w:p>
        </w:tc>
        <w:tc>
          <w:tcPr>
            <w:tcW w:w="2218"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弓弩遗迹、箭镞遗迹、兵器戟遗迹、兵器戈遗迹、木炭遗迹、彩绘土块遗迹、彩绘马腿遗迹</w:t>
            </w:r>
          </w:p>
        </w:tc>
      </w:tr>
      <w:tr>
        <w:tblPrEx>
          <w:tblLayout w:type="fixed"/>
          <w:tblCellMar>
            <w:top w:w="0" w:type="dxa"/>
            <w:left w:w="108" w:type="dxa"/>
            <w:bottom w:w="0" w:type="dxa"/>
            <w:right w:w="108" w:type="dxa"/>
          </w:tblCellMar>
        </w:tblPrEx>
        <w:trPr>
          <w:jc w:val="center"/>
        </w:trPr>
        <w:tc>
          <w:tcPr>
            <w:tcW w:w="1984" w:type="dxa"/>
            <w:tcBorders>
              <w:top w:val="single" w:color="auto" w:sz="4" w:space="0"/>
              <w:left w:val="single" w:color="auto" w:sz="4" w:space="0"/>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秦始皇帝陵博物院</w:t>
            </w:r>
          </w:p>
        </w:tc>
        <w:tc>
          <w:tcPr>
            <w:tcW w:w="2011"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左旋薄荷醇应用于秦陵百戏俑坑出土遗迹提取</w:t>
            </w:r>
          </w:p>
        </w:tc>
        <w:tc>
          <w:tcPr>
            <w:tcW w:w="1275"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ascii="宋体" w:hAnsi="宋体" w:eastAsia="宋体"/>
                <w:color w:val="0D0D0D"/>
                <w:kern w:val="2"/>
                <w:sz w:val="21"/>
                <w:szCs w:val="21"/>
              </w:rPr>
              <w:t>2011年——2013年</w:t>
            </w:r>
          </w:p>
        </w:tc>
        <w:tc>
          <w:tcPr>
            <w:tcW w:w="1534"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王伟锋</w:t>
            </w:r>
          </w:p>
          <w:p>
            <w:pPr>
              <w:pStyle w:val="4"/>
              <w:widowControl/>
              <w:spacing w:beforeAutospacing="0" w:afterAutospacing="0"/>
              <w:rPr>
                <w:sz w:val="21"/>
                <w:szCs w:val="21"/>
              </w:rPr>
            </w:pPr>
            <w:r>
              <w:rPr>
                <w:rFonts w:hint="eastAsia"/>
                <w:sz w:val="21"/>
                <w:szCs w:val="21"/>
              </w:rPr>
              <w:t>029-81399111</w:t>
            </w:r>
          </w:p>
          <w:p>
            <w:pPr>
              <w:pStyle w:val="4"/>
              <w:widowControl/>
              <w:spacing w:beforeAutospacing="0" w:afterAutospacing="0"/>
              <w:rPr>
                <w:sz w:val="21"/>
                <w:szCs w:val="21"/>
              </w:rPr>
            </w:pPr>
          </w:p>
        </w:tc>
        <w:tc>
          <w:tcPr>
            <w:tcW w:w="2218"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脚踏板遗迹、木炭遗迹、棚木遗迹</w:t>
            </w:r>
          </w:p>
        </w:tc>
      </w:tr>
      <w:tr>
        <w:tblPrEx>
          <w:tblLayout w:type="fixed"/>
        </w:tblPrEx>
        <w:trPr>
          <w:jc w:val="center"/>
        </w:trPr>
        <w:tc>
          <w:tcPr>
            <w:tcW w:w="1984" w:type="dxa"/>
            <w:tcBorders>
              <w:top w:val="single" w:color="auto" w:sz="4" w:space="0"/>
              <w:left w:val="single" w:color="auto" w:sz="4" w:space="0"/>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陕西省考古研究院</w:t>
            </w:r>
          </w:p>
        </w:tc>
        <w:tc>
          <w:tcPr>
            <w:tcW w:w="2011"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左旋薄荷醇应用于凤栖塬张安世家族墓地出土遗迹提取</w:t>
            </w:r>
          </w:p>
        </w:tc>
        <w:tc>
          <w:tcPr>
            <w:tcW w:w="1275"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ascii="宋体" w:hAnsi="宋体" w:eastAsia="宋体"/>
                <w:color w:val="0D0D0D"/>
                <w:kern w:val="2"/>
                <w:sz w:val="21"/>
                <w:szCs w:val="21"/>
              </w:rPr>
              <w:t>2010年-2012年</w:t>
            </w:r>
          </w:p>
        </w:tc>
        <w:tc>
          <w:tcPr>
            <w:tcW w:w="1534"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丁岩</w:t>
            </w:r>
          </w:p>
          <w:p>
            <w:pPr>
              <w:pStyle w:val="4"/>
              <w:widowControl/>
              <w:spacing w:beforeAutospacing="0" w:afterAutospacing="0"/>
              <w:rPr>
                <w:sz w:val="21"/>
                <w:szCs w:val="21"/>
              </w:rPr>
            </w:pPr>
            <w:r>
              <w:rPr>
                <w:rFonts w:hint="eastAsia"/>
                <w:sz w:val="21"/>
                <w:szCs w:val="21"/>
              </w:rPr>
              <w:t>13572127325</w:t>
            </w:r>
          </w:p>
        </w:tc>
        <w:tc>
          <w:tcPr>
            <w:tcW w:w="2218"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彩绘漆皮遗迹、木炭遗迹</w:t>
            </w:r>
          </w:p>
        </w:tc>
      </w:tr>
      <w:tr>
        <w:tblPrEx>
          <w:tblLayout w:type="fixed"/>
          <w:tblCellMar>
            <w:top w:w="0" w:type="dxa"/>
            <w:left w:w="108" w:type="dxa"/>
            <w:bottom w:w="0" w:type="dxa"/>
            <w:right w:w="108" w:type="dxa"/>
          </w:tblCellMar>
        </w:tblPrEx>
        <w:trPr>
          <w:jc w:val="center"/>
        </w:trPr>
        <w:tc>
          <w:tcPr>
            <w:tcW w:w="1984" w:type="dxa"/>
            <w:tcBorders>
              <w:top w:val="single" w:color="auto" w:sz="4" w:space="0"/>
              <w:left w:val="single" w:color="auto" w:sz="4" w:space="0"/>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陕西省考古研究院</w:t>
            </w:r>
          </w:p>
        </w:tc>
        <w:tc>
          <w:tcPr>
            <w:tcW w:w="2011"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左旋薄荷醇应用于陕北统万城墓地出土遗迹提取</w:t>
            </w:r>
          </w:p>
        </w:tc>
        <w:tc>
          <w:tcPr>
            <w:tcW w:w="1275"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ascii="宋体" w:hAnsi="宋体" w:eastAsia="宋体"/>
                <w:color w:val="0D0D0D"/>
                <w:kern w:val="2"/>
                <w:sz w:val="21"/>
                <w:szCs w:val="21"/>
              </w:rPr>
              <w:t>2012年——2013年</w:t>
            </w:r>
          </w:p>
        </w:tc>
        <w:tc>
          <w:tcPr>
            <w:tcW w:w="1534"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赵西晨</w:t>
            </w:r>
          </w:p>
          <w:p>
            <w:pPr>
              <w:pStyle w:val="4"/>
              <w:widowControl/>
              <w:spacing w:beforeAutospacing="0" w:afterAutospacing="0"/>
              <w:rPr>
                <w:sz w:val="21"/>
                <w:szCs w:val="21"/>
              </w:rPr>
            </w:pPr>
            <w:r>
              <w:rPr>
                <w:rFonts w:hint="eastAsia"/>
                <w:sz w:val="21"/>
                <w:szCs w:val="21"/>
              </w:rPr>
              <w:t>13519119097</w:t>
            </w:r>
          </w:p>
        </w:tc>
        <w:tc>
          <w:tcPr>
            <w:tcW w:w="2218"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壁画、植物遗迹、建筑遗迹的提取</w:t>
            </w:r>
          </w:p>
        </w:tc>
      </w:tr>
      <w:tr>
        <w:tblPrEx>
          <w:tblLayout w:type="fixed"/>
          <w:tblCellMar>
            <w:top w:w="0" w:type="dxa"/>
            <w:left w:w="108" w:type="dxa"/>
            <w:bottom w:w="0" w:type="dxa"/>
            <w:right w:w="108" w:type="dxa"/>
          </w:tblCellMar>
        </w:tblPrEx>
        <w:trPr>
          <w:jc w:val="center"/>
        </w:trPr>
        <w:tc>
          <w:tcPr>
            <w:tcW w:w="1984" w:type="dxa"/>
            <w:tcBorders>
              <w:top w:val="single" w:color="auto" w:sz="4" w:space="0"/>
              <w:left w:val="single" w:color="auto" w:sz="4" w:space="0"/>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西安市文物保护与考古研究院</w:t>
            </w:r>
          </w:p>
        </w:tc>
        <w:tc>
          <w:tcPr>
            <w:tcW w:w="2011"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左旋薄荷醇应用于西安南郊壁画揭取</w:t>
            </w:r>
          </w:p>
        </w:tc>
        <w:tc>
          <w:tcPr>
            <w:tcW w:w="1275"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ascii="宋体" w:hAnsi="宋体" w:eastAsia="宋体"/>
                <w:color w:val="0D0D0D"/>
                <w:kern w:val="2"/>
                <w:sz w:val="21"/>
                <w:szCs w:val="21"/>
              </w:rPr>
              <w:t>2012年——2013年</w:t>
            </w:r>
          </w:p>
        </w:tc>
        <w:tc>
          <w:tcPr>
            <w:tcW w:w="1534"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赵凤燕</w:t>
            </w:r>
          </w:p>
          <w:p>
            <w:pPr>
              <w:pStyle w:val="4"/>
              <w:widowControl/>
              <w:spacing w:beforeAutospacing="0" w:afterAutospacing="0"/>
              <w:rPr>
                <w:sz w:val="21"/>
                <w:szCs w:val="21"/>
              </w:rPr>
            </w:pPr>
            <w:r>
              <w:rPr>
                <w:rFonts w:hint="eastAsia"/>
                <w:sz w:val="21"/>
                <w:szCs w:val="21"/>
              </w:rPr>
              <w:t>13571492717</w:t>
            </w:r>
          </w:p>
          <w:p>
            <w:pPr>
              <w:pStyle w:val="4"/>
              <w:widowControl/>
              <w:spacing w:beforeAutospacing="0" w:afterAutospacing="0"/>
              <w:rPr>
                <w:sz w:val="21"/>
                <w:szCs w:val="21"/>
              </w:rPr>
            </w:pPr>
          </w:p>
        </w:tc>
        <w:tc>
          <w:tcPr>
            <w:tcW w:w="2218"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墓葬壁画画面的揭取</w:t>
            </w:r>
          </w:p>
        </w:tc>
      </w:tr>
      <w:tr>
        <w:tblPrEx>
          <w:tblLayout w:type="fixed"/>
          <w:tblCellMar>
            <w:top w:w="0" w:type="dxa"/>
            <w:left w:w="108" w:type="dxa"/>
            <w:bottom w:w="0" w:type="dxa"/>
            <w:right w:w="108" w:type="dxa"/>
          </w:tblCellMar>
        </w:tblPrEx>
        <w:trPr>
          <w:jc w:val="center"/>
        </w:trPr>
        <w:tc>
          <w:tcPr>
            <w:tcW w:w="1984" w:type="dxa"/>
            <w:tcBorders>
              <w:top w:val="single" w:color="auto" w:sz="4" w:space="0"/>
              <w:left w:val="single" w:color="auto" w:sz="4" w:space="0"/>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河南省考古研究院</w:t>
            </w:r>
          </w:p>
        </w:tc>
        <w:tc>
          <w:tcPr>
            <w:tcW w:w="2011"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左旋薄荷醇应用于城阳城遗址脆弱遗迹提取</w:t>
            </w:r>
          </w:p>
        </w:tc>
        <w:tc>
          <w:tcPr>
            <w:tcW w:w="1275"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rFonts w:ascii="宋体" w:hAnsi="宋体" w:eastAsia="宋体"/>
                <w:color w:val="0D0D0D"/>
                <w:kern w:val="2"/>
                <w:sz w:val="21"/>
                <w:szCs w:val="21"/>
              </w:rPr>
            </w:pPr>
            <w:r>
              <w:rPr>
                <w:rFonts w:hint="eastAsia" w:ascii="宋体" w:hAnsi="宋体" w:eastAsia="宋体"/>
                <w:color w:val="0D0D0D"/>
                <w:kern w:val="2"/>
                <w:sz w:val="21"/>
                <w:szCs w:val="21"/>
              </w:rPr>
              <w:t>2015-2016</w:t>
            </w:r>
          </w:p>
        </w:tc>
        <w:tc>
          <w:tcPr>
            <w:tcW w:w="1534"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武志江13598083010</w:t>
            </w:r>
          </w:p>
          <w:p>
            <w:pPr>
              <w:pStyle w:val="4"/>
              <w:widowControl/>
              <w:spacing w:beforeAutospacing="0" w:afterAutospacing="0"/>
              <w:rPr>
                <w:sz w:val="21"/>
                <w:szCs w:val="21"/>
              </w:rPr>
            </w:pPr>
          </w:p>
        </w:tc>
        <w:tc>
          <w:tcPr>
            <w:tcW w:w="2218"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左旋薄荷醇应用于彩绘脆弱遗迹提取</w:t>
            </w:r>
          </w:p>
        </w:tc>
      </w:tr>
      <w:tr>
        <w:tblPrEx>
          <w:tblLayout w:type="fixed"/>
        </w:tblPrEx>
        <w:trPr>
          <w:jc w:val="center"/>
        </w:trPr>
        <w:tc>
          <w:tcPr>
            <w:tcW w:w="1984" w:type="dxa"/>
            <w:tcBorders>
              <w:top w:val="single" w:color="auto" w:sz="4" w:space="0"/>
              <w:left w:val="single" w:color="auto" w:sz="4" w:space="0"/>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徐州市博物馆</w:t>
            </w:r>
          </w:p>
        </w:tc>
        <w:tc>
          <w:tcPr>
            <w:tcW w:w="2011"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左旋薄荷醇应用于江苏省盱眙大云山王都王王后墓出土的镶玉漆棺保护</w:t>
            </w:r>
          </w:p>
        </w:tc>
        <w:tc>
          <w:tcPr>
            <w:tcW w:w="1275"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ascii="宋体" w:hAnsi="宋体" w:eastAsia="宋体"/>
                <w:color w:val="0D0D0D"/>
                <w:kern w:val="2"/>
                <w:sz w:val="21"/>
                <w:szCs w:val="21"/>
              </w:rPr>
              <w:t>2014年——2015年</w:t>
            </w:r>
          </w:p>
        </w:tc>
        <w:tc>
          <w:tcPr>
            <w:tcW w:w="1534"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赵晓伟</w:t>
            </w:r>
          </w:p>
          <w:p>
            <w:pPr>
              <w:pStyle w:val="4"/>
              <w:widowControl/>
              <w:spacing w:beforeAutospacing="0" w:afterAutospacing="0"/>
              <w:rPr>
                <w:sz w:val="21"/>
                <w:szCs w:val="21"/>
              </w:rPr>
            </w:pPr>
            <w:r>
              <w:rPr>
                <w:rFonts w:hint="eastAsia"/>
                <w:sz w:val="21"/>
                <w:szCs w:val="21"/>
              </w:rPr>
              <w:t>13645211579</w:t>
            </w:r>
          </w:p>
        </w:tc>
        <w:tc>
          <w:tcPr>
            <w:tcW w:w="2218"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将镶玉漆棺表面彩绘漆皮揭取并完整保存</w:t>
            </w:r>
          </w:p>
        </w:tc>
      </w:tr>
      <w:tr>
        <w:tblPrEx>
          <w:tblLayout w:type="fixed"/>
          <w:tblCellMar>
            <w:top w:w="0" w:type="dxa"/>
            <w:left w:w="108" w:type="dxa"/>
            <w:bottom w:w="0" w:type="dxa"/>
            <w:right w:w="108" w:type="dxa"/>
          </w:tblCellMar>
        </w:tblPrEx>
        <w:trPr>
          <w:jc w:val="center"/>
        </w:trPr>
        <w:tc>
          <w:tcPr>
            <w:tcW w:w="1984" w:type="dxa"/>
            <w:tcBorders>
              <w:top w:val="single" w:color="auto" w:sz="4" w:space="0"/>
              <w:left w:val="single" w:color="auto" w:sz="4" w:space="0"/>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中国社会科学院考古研究所</w:t>
            </w:r>
          </w:p>
        </w:tc>
        <w:tc>
          <w:tcPr>
            <w:tcW w:w="2011"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左旋薄荷醇应用于内蒙古谢尔他拉岗嘎墓地木制遗存揭取</w:t>
            </w:r>
          </w:p>
        </w:tc>
        <w:tc>
          <w:tcPr>
            <w:tcW w:w="1275"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ascii="宋体" w:hAnsi="宋体" w:eastAsia="宋体"/>
                <w:color w:val="0D0D0D"/>
                <w:kern w:val="2"/>
                <w:sz w:val="21"/>
                <w:szCs w:val="21"/>
              </w:rPr>
              <w:t>2015年——2016年</w:t>
            </w:r>
          </w:p>
        </w:tc>
        <w:tc>
          <w:tcPr>
            <w:tcW w:w="1534"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李存信13520020015</w:t>
            </w:r>
          </w:p>
        </w:tc>
        <w:tc>
          <w:tcPr>
            <w:tcW w:w="2218"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岗嘎墓地木制遗存揭取</w:t>
            </w:r>
          </w:p>
        </w:tc>
      </w:tr>
      <w:tr>
        <w:tblPrEx>
          <w:tblLayout w:type="fixed"/>
          <w:tblCellMar>
            <w:top w:w="0" w:type="dxa"/>
            <w:left w:w="108" w:type="dxa"/>
            <w:bottom w:w="0" w:type="dxa"/>
            <w:right w:w="108" w:type="dxa"/>
          </w:tblCellMar>
        </w:tblPrEx>
        <w:trPr>
          <w:jc w:val="center"/>
        </w:trPr>
        <w:tc>
          <w:tcPr>
            <w:tcW w:w="1984" w:type="dxa"/>
            <w:tcBorders>
              <w:top w:val="single" w:color="auto" w:sz="4" w:space="0"/>
              <w:left w:val="single" w:color="auto" w:sz="4" w:space="0"/>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江西省考古研究所</w:t>
            </w:r>
          </w:p>
        </w:tc>
        <w:tc>
          <w:tcPr>
            <w:tcW w:w="2011"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左旋薄荷醇应用于江西南昌海昏侯主棺琉璃席提取</w:t>
            </w:r>
          </w:p>
        </w:tc>
        <w:tc>
          <w:tcPr>
            <w:tcW w:w="1275"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ascii="宋体" w:hAnsi="宋体" w:eastAsia="宋体"/>
                <w:color w:val="0D0D0D"/>
                <w:kern w:val="2"/>
                <w:sz w:val="21"/>
                <w:szCs w:val="21"/>
              </w:rPr>
              <w:t>2012年——2013年</w:t>
            </w:r>
          </w:p>
        </w:tc>
        <w:tc>
          <w:tcPr>
            <w:tcW w:w="1534"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张仲立13630250333</w:t>
            </w:r>
          </w:p>
        </w:tc>
        <w:tc>
          <w:tcPr>
            <w:tcW w:w="2218"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提取珍贵的主棺琉璃席彩绘遗迹</w:t>
            </w:r>
          </w:p>
        </w:tc>
      </w:tr>
      <w:tr>
        <w:tblPrEx>
          <w:tblLayout w:type="fixed"/>
          <w:tblCellMar>
            <w:top w:w="0" w:type="dxa"/>
            <w:left w:w="108" w:type="dxa"/>
            <w:bottom w:w="0" w:type="dxa"/>
            <w:right w:w="108" w:type="dxa"/>
          </w:tblCellMar>
        </w:tblPrEx>
        <w:trPr>
          <w:jc w:val="center"/>
        </w:trPr>
        <w:tc>
          <w:tcPr>
            <w:tcW w:w="1984" w:type="dxa"/>
            <w:tcBorders>
              <w:top w:val="single" w:color="auto" w:sz="4" w:space="0"/>
              <w:left w:val="single" w:color="auto" w:sz="4" w:space="0"/>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辽宁省博物馆</w:t>
            </w:r>
          </w:p>
        </w:tc>
        <w:tc>
          <w:tcPr>
            <w:tcW w:w="2011"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左旋薄荷醇应用于北镇辽代贵族墓壁画揭取</w:t>
            </w:r>
          </w:p>
        </w:tc>
        <w:tc>
          <w:tcPr>
            <w:tcW w:w="1275"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2015-2016年</w:t>
            </w:r>
          </w:p>
        </w:tc>
        <w:tc>
          <w:tcPr>
            <w:tcW w:w="1534"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孙力13940592005</w:t>
            </w:r>
          </w:p>
        </w:tc>
        <w:tc>
          <w:tcPr>
            <w:tcW w:w="2218" w:type="dxa"/>
            <w:tcBorders>
              <w:top w:val="single" w:color="auto" w:sz="4" w:space="0"/>
              <w:left w:val="nil"/>
              <w:bottom w:val="single" w:color="auto" w:sz="4" w:space="0"/>
              <w:right w:val="single" w:color="auto" w:sz="4" w:space="0"/>
            </w:tcBorders>
            <w:shd w:val="clear" w:color="auto" w:fill="auto"/>
          </w:tcPr>
          <w:p>
            <w:pPr>
              <w:pStyle w:val="4"/>
              <w:widowControl/>
              <w:spacing w:beforeAutospacing="0" w:afterAutospacing="0"/>
              <w:rPr>
                <w:sz w:val="21"/>
                <w:szCs w:val="21"/>
              </w:rPr>
            </w:pPr>
            <w:r>
              <w:rPr>
                <w:rFonts w:hint="eastAsia"/>
                <w:sz w:val="21"/>
                <w:szCs w:val="21"/>
              </w:rPr>
              <w:t>北镇辽代贵族墓壁画揭取</w:t>
            </w:r>
          </w:p>
        </w:tc>
      </w:tr>
    </w:tbl>
    <w:p>
      <w:pPr>
        <w:pStyle w:val="4"/>
        <w:widowControl/>
        <w:spacing w:beforeAutospacing="0" w:afterAutospacing="0" w:line="360" w:lineRule="auto"/>
        <w:ind w:right="150"/>
        <w:rPr>
          <w:rFonts w:ascii="宋体" w:hAnsi="宋体" w:eastAsia="宋体" w:cstheme="minorBidi"/>
          <w:color w:val="0D0D0D"/>
          <w:kern w:val="2"/>
          <w:sz w:val="21"/>
          <w:szCs w:val="21"/>
        </w:rPr>
      </w:pPr>
    </w:p>
    <w:p>
      <w:pPr>
        <w:pStyle w:val="4"/>
        <w:widowControl/>
        <w:spacing w:beforeAutospacing="0" w:afterAutospacing="0" w:line="360" w:lineRule="auto"/>
        <w:ind w:right="150"/>
        <w:rPr>
          <w:sz w:val="28"/>
          <w:szCs w:val="28"/>
        </w:rPr>
      </w:pPr>
      <w:r>
        <w:rPr>
          <w:rFonts w:hint="eastAsia" w:ascii="宋体" w:hAnsi="宋体" w:eastAsia="宋体"/>
          <w:b/>
          <w:color w:val="0D0D0D"/>
          <w:kern w:val="2"/>
          <w:sz w:val="28"/>
          <w:szCs w:val="28"/>
        </w:rPr>
        <w:t>六、</w:t>
      </w:r>
      <w:r>
        <w:rPr>
          <w:rFonts w:hint="eastAsia" w:ascii="宋体" w:hAnsi="宋体" w:eastAsia="宋体" w:cs="宋体"/>
          <w:b/>
          <w:color w:val="0D0D0D"/>
          <w:kern w:val="2"/>
          <w:sz w:val="28"/>
          <w:szCs w:val="28"/>
        </w:rPr>
        <w:t>主要完成人情况：</w:t>
      </w:r>
    </w:p>
    <w:p>
      <w:pPr>
        <w:pStyle w:val="4"/>
        <w:widowControl/>
        <w:spacing w:beforeAutospacing="0" w:afterAutospacing="0" w:line="360" w:lineRule="auto"/>
        <w:ind w:left="512" w:right="150" w:hanging="360"/>
        <w:rPr>
          <w:rFonts w:ascii="宋体" w:hAnsi="宋体" w:eastAsia="宋体" w:cs="宋体"/>
          <w:color w:val="0D0D0D"/>
          <w:kern w:val="2"/>
          <w:sz w:val="28"/>
          <w:szCs w:val="28"/>
        </w:rPr>
      </w:pPr>
      <w:r>
        <w:rPr>
          <w:rFonts w:hint="eastAsia" w:ascii="宋体" w:hAnsi="宋体" w:eastAsia="宋体" w:cs="宋体"/>
          <w:color w:val="0D0D0D"/>
          <w:kern w:val="2"/>
          <w:sz w:val="28"/>
          <w:szCs w:val="28"/>
        </w:rPr>
        <w:t>1. 罗宏杰，上海大学教授，国家重点基础研究发展计划（973项目）首席科学家，“十二五”国家科技支撑计划项目组重要骨干，材料设计研发负责人，材料性能评估及工艺设计实验研究。对创新点1、2、3、4有重要贡献。</w:t>
      </w:r>
    </w:p>
    <w:p>
      <w:pPr>
        <w:pStyle w:val="4"/>
        <w:widowControl/>
        <w:spacing w:beforeAutospacing="0" w:afterAutospacing="0" w:line="360" w:lineRule="auto"/>
        <w:ind w:left="512" w:right="150" w:hanging="360"/>
        <w:rPr>
          <w:rFonts w:ascii="宋体" w:hAnsi="宋体" w:eastAsia="宋体" w:cs="宋体"/>
          <w:color w:val="0D0D0D"/>
          <w:kern w:val="2"/>
          <w:sz w:val="28"/>
          <w:szCs w:val="28"/>
        </w:rPr>
      </w:pPr>
      <w:r>
        <w:rPr>
          <w:rFonts w:hint="eastAsia" w:ascii="宋体" w:hAnsi="宋体" w:eastAsia="宋体" w:cs="宋体"/>
          <w:color w:val="0D0D0D"/>
          <w:kern w:val="2"/>
          <w:sz w:val="28"/>
          <w:szCs w:val="28"/>
        </w:rPr>
        <w:t>2. 周铁，秦始皇帝陵博物院研究员，“十二五”国家科技支撑计划课题《出土陶质彩绘文物保护关键技术研究》负责人，国家重点基础研究发展计划（973项目）项目组重要骨干，负责考古发掘现场材料实验及成果应用推广工作。对创新点1、2、3、4有重要贡献。主持编制了1项国家标准，4项行业标准。</w:t>
      </w:r>
    </w:p>
    <w:p>
      <w:pPr>
        <w:pStyle w:val="4"/>
        <w:widowControl/>
        <w:spacing w:beforeAutospacing="0" w:afterAutospacing="0" w:line="360" w:lineRule="auto"/>
        <w:ind w:left="512" w:right="150" w:hanging="360"/>
        <w:rPr>
          <w:rFonts w:ascii="宋体" w:hAnsi="宋体" w:eastAsia="宋体" w:cs="宋体"/>
          <w:color w:val="0D0D0D"/>
          <w:kern w:val="2"/>
          <w:sz w:val="28"/>
          <w:szCs w:val="28"/>
        </w:rPr>
      </w:pPr>
      <w:r>
        <w:rPr>
          <w:rFonts w:hint="eastAsia" w:ascii="宋体" w:hAnsi="宋体" w:eastAsia="宋体" w:cs="宋体"/>
          <w:color w:val="0D0D0D"/>
          <w:kern w:val="2"/>
          <w:sz w:val="28"/>
          <w:szCs w:val="28"/>
        </w:rPr>
        <w:t>3. 容波，秦始皇帝陵博物院研究员，“十二五”国家科技支撑计划项目以及国家重点基础研究发展计划（973项目）项目组重要骨干，实验室测试及现场工艺研究实施负责人，实施考古发掘现场材料实验及成果应用推广工作，组织实施了秦俑坑、秦陵百戏俑坑及凤栖塬墓地、陕北统万城工地临时固型技术应用工作。对创新点1、2、3、4有重要贡献。</w:t>
      </w:r>
    </w:p>
    <w:p>
      <w:pPr>
        <w:pStyle w:val="4"/>
        <w:widowControl/>
        <w:spacing w:beforeAutospacing="0" w:afterAutospacing="0" w:line="360" w:lineRule="auto"/>
        <w:ind w:left="512" w:right="150" w:hanging="360"/>
        <w:rPr>
          <w:rFonts w:ascii="宋体" w:hAnsi="宋体" w:eastAsia="宋体" w:cs="宋体"/>
          <w:color w:val="0D0D0D"/>
          <w:kern w:val="2"/>
          <w:sz w:val="28"/>
          <w:szCs w:val="28"/>
        </w:rPr>
      </w:pPr>
      <w:r>
        <w:rPr>
          <w:rFonts w:hint="eastAsia" w:ascii="宋体" w:hAnsi="宋体" w:eastAsia="宋体" w:cs="宋体"/>
          <w:color w:val="0D0D0D"/>
          <w:kern w:val="2"/>
          <w:sz w:val="28"/>
          <w:szCs w:val="28"/>
        </w:rPr>
        <w:t>4. 韩向娜，北京科技大学讲师，项目实验室测试及现场工艺研究实施负责人成员，实施考古发掘现场材料实验及成果应用推广工作，在秦俑坑、陕北统万城、海拉尔岗噶墓地、海昏侯考古工地实施材料应用。对创新点1、2、3有重要贡献。</w:t>
      </w:r>
    </w:p>
    <w:p>
      <w:pPr>
        <w:pStyle w:val="4"/>
        <w:widowControl/>
        <w:spacing w:beforeAutospacing="0" w:afterAutospacing="0" w:line="360" w:lineRule="auto"/>
        <w:ind w:left="512" w:right="150" w:hanging="360"/>
        <w:rPr>
          <w:rFonts w:ascii="宋体" w:hAnsi="宋体" w:eastAsia="宋体" w:cs="宋体"/>
          <w:color w:val="0D0D0D"/>
          <w:kern w:val="2"/>
          <w:sz w:val="28"/>
          <w:szCs w:val="28"/>
        </w:rPr>
      </w:pPr>
      <w:r>
        <w:rPr>
          <w:rFonts w:hint="eastAsia" w:ascii="宋体" w:hAnsi="宋体" w:eastAsia="宋体" w:cs="宋体"/>
          <w:color w:val="0D0D0D"/>
          <w:kern w:val="2"/>
          <w:sz w:val="28"/>
          <w:szCs w:val="28"/>
        </w:rPr>
        <w:t>5. 房强，中国科学院上海有机化学研究所研究员，中国科学院上海高等研究院兼职研究员，组织实施左旋薄荷醇衍生物选择及应用评价工作。对创新点1、2、3有重要贡献。</w:t>
      </w:r>
    </w:p>
    <w:p>
      <w:pPr>
        <w:pStyle w:val="4"/>
        <w:widowControl/>
        <w:spacing w:beforeAutospacing="0" w:afterAutospacing="0" w:line="360" w:lineRule="auto"/>
        <w:ind w:left="512" w:right="150" w:hanging="360"/>
        <w:rPr>
          <w:rFonts w:ascii="宋体" w:hAnsi="宋体" w:eastAsia="宋体" w:cs="宋体"/>
          <w:color w:val="0D0D0D"/>
          <w:kern w:val="2"/>
          <w:sz w:val="28"/>
          <w:szCs w:val="28"/>
        </w:rPr>
      </w:pPr>
      <w:r>
        <w:rPr>
          <w:rFonts w:hint="eastAsia" w:ascii="宋体" w:hAnsi="宋体" w:eastAsia="宋体" w:cs="宋体"/>
          <w:color w:val="0D0D0D"/>
          <w:kern w:val="2"/>
          <w:sz w:val="28"/>
          <w:szCs w:val="28"/>
        </w:rPr>
        <w:t>6. 黄晓，中国科学院上海硅酸盐研究所研究员，国家重点基础研究发展计划（973项目）组骨干成员，负责左旋薄荷醇提取性能关键技术研究。对创新点2、3有创造性贡献。</w:t>
      </w:r>
    </w:p>
    <w:p>
      <w:pPr>
        <w:pStyle w:val="4"/>
        <w:widowControl/>
        <w:spacing w:beforeAutospacing="0" w:afterAutospacing="0" w:line="360" w:lineRule="auto"/>
        <w:ind w:left="512" w:right="150" w:hanging="360"/>
        <w:rPr>
          <w:rFonts w:ascii="宋体" w:hAnsi="宋体" w:eastAsia="宋体" w:cs="宋体"/>
          <w:color w:val="0D0D0D"/>
          <w:kern w:val="2"/>
          <w:sz w:val="28"/>
          <w:szCs w:val="28"/>
        </w:rPr>
      </w:pPr>
      <w:r>
        <w:rPr>
          <w:rFonts w:hint="eastAsia" w:ascii="宋体" w:hAnsi="宋体" w:eastAsia="宋体" w:cs="宋体"/>
          <w:color w:val="0D0D0D"/>
          <w:kern w:val="2"/>
          <w:sz w:val="28"/>
          <w:szCs w:val="28"/>
        </w:rPr>
        <w:t>7. 张秉坚，浙江大学教授，国家重点基础研究发展计划（973项目）组骨干成员，材料性能功能评价专项负责人，对创新点2、3有重要贡献。</w:t>
      </w:r>
    </w:p>
    <w:p>
      <w:pPr>
        <w:pStyle w:val="4"/>
        <w:widowControl/>
        <w:spacing w:beforeAutospacing="0" w:afterAutospacing="0" w:line="360" w:lineRule="auto"/>
        <w:ind w:left="512" w:right="150" w:hanging="360"/>
        <w:rPr>
          <w:rFonts w:ascii="宋体" w:hAnsi="宋体" w:eastAsia="宋体" w:cs="宋体"/>
          <w:color w:val="0D0D0D"/>
          <w:kern w:val="2"/>
          <w:sz w:val="28"/>
          <w:szCs w:val="28"/>
        </w:rPr>
      </w:pPr>
      <w:r>
        <w:rPr>
          <w:rFonts w:hint="eastAsia" w:ascii="宋体" w:hAnsi="宋体" w:eastAsia="宋体" w:cs="宋体"/>
          <w:color w:val="0D0D0D"/>
          <w:kern w:val="2"/>
          <w:sz w:val="28"/>
          <w:szCs w:val="28"/>
        </w:rPr>
        <w:t>8. 王春燕，秦始皇帝陵博物院副研究员，参与项目实验室测试及秦俑一号坑现场出土遗迹提取工艺研究。对创新点3、4有重要贡献。</w:t>
      </w:r>
    </w:p>
    <w:p>
      <w:pPr>
        <w:pStyle w:val="4"/>
        <w:widowControl/>
        <w:spacing w:beforeAutospacing="0" w:afterAutospacing="0" w:line="360" w:lineRule="auto"/>
        <w:ind w:left="512" w:right="150" w:hanging="360"/>
        <w:rPr>
          <w:rFonts w:ascii="宋体" w:hAnsi="宋体" w:eastAsia="宋体" w:cs="宋体"/>
          <w:color w:val="0D0D0D"/>
          <w:kern w:val="2"/>
          <w:sz w:val="28"/>
          <w:szCs w:val="28"/>
        </w:rPr>
      </w:pPr>
      <w:r>
        <w:rPr>
          <w:rFonts w:hint="eastAsia" w:ascii="宋体" w:hAnsi="宋体" w:eastAsia="宋体" w:cs="宋体"/>
          <w:color w:val="0D0D0D"/>
          <w:kern w:val="2"/>
          <w:sz w:val="28"/>
          <w:szCs w:val="28"/>
        </w:rPr>
        <w:t>9. 王东峰，秦始皇帝陵博物院助理研究员，参与秦俑一号坑现场修复研究，实施成果应用推广工作。对创新点3、4有重要贡献。</w:t>
      </w:r>
    </w:p>
    <w:p>
      <w:pPr>
        <w:pStyle w:val="4"/>
        <w:widowControl/>
        <w:spacing w:beforeAutospacing="0" w:afterAutospacing="0" w:line="360" w:lineRule="auto"/>
        <w:ind w:left="512" w:right="150" w:hanging="360"/>
        <w:rPr>
          <w:rFonts w:ascii="宋体" w:hAnsi="宋体" w:eastAsia="宋体" w:cs="宋体"/>
          <w:color w:val="0D0D0D"/>
          <w:kern w:val="2"/>
          <w:sz w:val="28"/>
          <w:szCs w:val="28"/>
        </w:rPr>
      </w:pPr>
      <w:r>
        <w:rPr>
          <w:rFonts w:hint="eastAsia" w:ascii="宋体" w:hAnsi="宋体" w:eastAsia="宋体" w:cs="宋体"/>
          <w:color w:val="0D0D0D"/>
          <w:kern w:val="2"/>
          <w:sz w:val="28"/>
          <w:szCs w:val="28"/>
        </w:rPr>
        <w:t>10. 李伟东，中国科学院上海硅酸盐研究所研究员，国家重点基础研究发展计划（973项目）组成员，负责左旋薄荷醇提取性能提取技术研究。对创新点3有创造性贡献。</w:t>
      </w:r>
    </w:p>
    <w:p>
      <w:pPr>
        <w:pStyle w:val="4"/>
        <w:widowControl/>
        <w:spacing w:beforeAutospacing="0" w:afterAutospacing="0" w:line="360" w:lineRule="auto"/>
        <w:ind w:left="150" w:right="150"/>
        <w:rPr>
          <w:sz w:val="28"/>
          <w:szCs w:val="28"/>
        </w:rPr>
      </w:pPr>
      <w:r>
        <w:rPr>
          <w:rFonts w:hint="eastAsia" w:ascii="宋体" w:hAnsi="宋体" w:eastAsia="宋体"/>
          <w:b/>
          <w:color w:val="0D0D0D"/>
          <w:kern w:val="2"/>
          <w:sz w:val="28"/>
          <w:szCs w:val="28"/>
        </w:rPr>
        <w:t>七、</w:t>
      </w:r>
      <w:r>
        <w:rPr>
          <w:rFonts w:hint="eastAsia" w:ascii="宋体" w:hAnsi="宋体" w:eastAsia="宋体" w:cs="宋体"/>
          <w:b/>
          <w:color w:val="0D0D0D"/>
          <w:kern w:val="2"/>
          <w:sz w:val="28"/>
          <w:szCs w:val="28"/>
        </w:rPr>
        <w:t>主要完成单位及创新推广贡献：</w:t>
      </w:r>
    </w:p>
    <w:p>
      <w:pPr>
        <w:pStyle w:val="4"/>
        <w:widowControl/>
        <w:spacing w:beforeAutospacing="0" w:afterAutospacing="0" w:line="360" w:lineRule="auto"/>
        <w:ind w:left="512" w:right="150" w:hanging="360"/>
        <w:rPr>
          <w:rFonts w:ascii="宋体" w:hAnsi="宋体" w:eastAsia="宋体" w:cs="宋体"/>
          <w:color w:val="0D0D0D"/>
          <w:kern w:val="2"/>
          <w:sz w:val="28"/>
          <w:szCs w:val="28"/>
        </w:rPr>
      </w:pPr>
      <w:r>
        <w:rPr>
          <w:rFonts w:hint="eastAsia" w:ascii="宋体" w:hAnsi="宋体" w:eastAsia="宋体"/>
          <w:color w:val="0D0D0D"/>
          <w:kern w:val="2"/>
          <w:sz w:val="28"/>
          <w:szCs w:val="28"/>
        </w:rPr>
        <w:t>1. </w:t>
      </w:r>
      <w:r>
        <w:rPr>
          <w:rFonts w:hint="eastAsia" w:ascii="宋体" w:hAnsi="宋体" w:eastAsia="宋体" w:cs="宋体"/>
          <w:color w:val="0D0D0D"/>
          <w:kern w:val="2"/>
          <w:sz w:val="28"/>
          <w:szCs w:val="28"/>
        </w:rPr>
        <w:t>秦始皇帝陵博物院</w:t>
      </w:r>
    </w:p>
    <w:p>
      <w:pPr>
        <w:pStyle w:val="4"/>
        <w:widowControl/>
        <w:spacing w:beforeAutospacing="0" w:afterAutospacing="0" w:line="360" w:lineRule="auto"/>
        <w:ind w:right="150" w:firstLine="560" w:firstLineChars="200"/>
        <w:rPr>
          <w:rFonts w:ascii="宋体" w:hAnsi="宋体" w:eastAsia="宋体"/>
          <w:color w:val="0D0D0D"/>
          <w:kern w:val="2"/>
          <w:sz w:val="28"/>
          <w:szCs w:val="28"/>
        </w:rPr>
      </w:pPr>
      <w:r>
        <w:rPr>
          <w:rFonts w:hint="eastAsia" w:ascii="宋体" w:hAnsi="宋体" w:eastAsia="宋体"/>
          <w:color w:val="0D0D0D"/>
          <w:kern w:val="2"/>
          <w:sz w:val="28"/>
          <w:szCs w:val="28"/>
        </w:rPr>
        <w:t>组织项目的实施和推广应用，保障项目的工作环境、设备条件、对外协作等。承担了本项目的需求分析、应用示范技术设计、工艺流程研究、材料评价研究，在材料遴选原则、提取工艺流程设计等诸多技术环节进行实验研究。参与编制了脆弱遗迹提取标准规范，填补了国内空白。</w:t>
      </w:r>
    </w:p>
    <w:p>
      <w:pPr>
        <w:pStyle w:val="4"/>
        <w:widowControl/>
        <w:spacing w:beforeAutospacing="0" w:afterAutospacing="0" w:line="360" w:lineRule="auto"/>
        <w:ind w:left="512" w:right="150" w:hanging="360"/>
        <w:rPr>
          <w:rFonts w:ascii="宋体" w:hAnsi="宋体" w:eastAsia="宋体"/>
          <w:color w:val="0D0D0D"/>
          <w:kern w:val="2"/>
          <w:sz w:val="28"/>
          <w:szCs w:val="28"/>
        </w:rPr>
      </w:pPr>
      <w:r>
        <w:rPr>
          <w:rFonts w:hint="eastAsia" w:ascii="宋体" w:hAnsi="宋体" w:eastAsia="宋体"/>
          <w:color w:val="0D0D0D"/>
          <w:kern w:val="2"/>
          <w:sz w:val="28"/>
          <w:szCs w:val="28"/>
        </w:rPr>
        <w:t>2. 中国科学院上海硅酸盐研究所</w:t>
      </w:r>
    </w:p>
    <w:p>
      <w:pPr>
        <w:pStyle w:val="4"/>
        <w:widowControl/>
        <w:spacing w:beforeAutospacing="0" w:afterAutospacing="0" w:line="360" w:lineRule="auto"/>
        <w:ind w:left="151" w:leftChars="72" w:right="150" w:firstLine="560" w:firstLineChars="200"/>
        <w:rPr>
          <w:rFonts w:ascii="宋体" w:hAnsi="宋体" w:eastAsia="宋体"/>
          <w:color w:val="0D0D0D"/>
          <w:kern w:val="2"/>
          <w:sz w:val="28"/>
          <w:szCs w:val="28"/>
        </w:rPr>
      </w:pPr>
      <w:r>
        <w:rPr>
          <w:rFonts w:hint="eastAsia" w:ascii="宋体" w:hAnsi="宋体" w:eastAsia="宋体"/>
          <w:color w:val="0D0D0D"/>
          <w:kern w:val="2"/>
          <w:sz w:val="28"/>
          <w:szCs w:val="28"/>
        </w:rPr>
        <w:t>参与了本项目的需求分析、应用示范技术设计、工艺流程研究，参与本项目的立项、材料性能评价及实验室测试工作，专利撰写，协助开展科技成果推广应用工作。</w:t>
      </w:r>
    </w:p>
    <w:p>
      <w:pPr>
        <w:pStyle w:val="4"/>
        <w:widowControl/>
        <w:spacing w:beforeAutospacing="0" w:afterAutospacing="0" w:line="360" w:lineRule="auto"/>
        <w:ind w:left="512" w:right="150" w:hanging="360"/>
        <w:rPr>
          <w:rFonts w:ascii="宋体" w:hAnsi="宋体" w:eastAsia="宋体"/>
          <w:color w:val="0D0D0D"/>
          <w:kern w:val="2"/>
          <w:sz w:val="28"/>
          <w:szCs w:val="28"/>
        </w:rPr>
      </w:pPr>
      <w:r>
        <w:rPr>
          <w:rFonts w:hint="eastAsia" w:ascii="宋体" w:hAnsi="宋体" w:eastAsia="宋体"/>
          <w:color w:val="0D0D0D"/>
          <w:kern w:val="2"/>
          <w:sz w:val="28"/>
          <w:szCs w:val="28"/>
        </w:rPr>
        <w:t>3. 上海大学</w:t>
      </w:r>
    </w:p>
    <w:p>
      <w:pPr>
        <w:pStyle w:val="4"/>
        <w:widowControl/>
        <w:spacing w:beforeAutospacing="0" w:afterAutospacing="0" w:line="360" w:lineRule="auto"/>
        <w:ind w:firstLine="560" w:firstLineChars="200"/>
        <w:rPr>
          <w:rFonts w:ascii="宋体" w:hAnsi="宋体" w:eastAsia="宋体"/>
          <w:color w:val="0D0D0D"/>
          <w:kern w:val="2"/>
          <w:sz w:val="28"/>
          <w:szCs w:val="28"/>
        </w:rPr>
      </w:pPr>
      <w:r>
        <w:rPr>
          <w:rFonts w:hint="eastAsia" w:ascii="宋体" w:hAnsi="宋体" w:eastAsia="宋体"/>
          <w:color w:val="0D0D0D"/>
          <w:kern w:val="2"/>
          <w:sz w:val="28"/>
          <w:szCs w:val="28"/>
        </w:rPr>
        <w:t>参与了本项目的需求分析、应用示范技术设计、工艺流程研究、材料评价研究，在材料遴选原则、提取工艺流程设计等诸多技术环节进行实验研究。参与编制了脆弱遗迹提取标准规范，填补了国内空白。4.   中国科学院上海有机化学研究所</w:t>
      </w:r>
    </w:p>
    <w:p>
      <w:pPr>
        <w:pStyle w:val="4"/>
        <w:widowControl/>
        <w:spacing w:beforeAutospacing="0" w:afterAutospacing="0" w:line="360" w:lineRule="auto"/>
        <w:ind w:firstLine="560"/>
        <w:rPr>
          <w:rFonts w:ascii="宋体" w:hAnsi="宋体" w:eastAsia="宋体"/>
          <w:color w:val="0D0D0D"/>
          <w:kern w:val="2"/>
          <w:sz w:val="28"/>
          <w:szCs w:val="28"/>
        </w:rPr>
      </w:pPr>
      <w:r>
        <w:rPr>
          <w:rFonts w:hint="eastAsia" w:ascii="宋体" w:hAnsi="宋体" w:eastAsia="宋体"/>
          <w:color w:val="0D0D0D"/>
          <w:kern w:val="2"/>
          <w:sz w:val="28"/>
          <w:szCs w:val="28"/>
        </w:rPr>
        <w:t>参与本项目的立项、材料研制及实验室测试工作，主要负责左旋薄荷醇及相关材料的科学表征，对部分材料工艺进行研究。</w:t>
      </w:r>
    </w:p>
    <w:p>
      <w:pPr>
        <w:pStyle w:val="4"/>
        <w:widowControl/>
        <w:spacing w:beforeAutospacing="0" w:afterAutospacing="0" w:line="360" w:lineRule="auto"/>
        <w:ind w:left="512" w:right="150" w:hanging="360"/>
        <w:rPr>
          <w:rFonts w:ascii="宋体" w:hAnsi="宋体" w:eastAsia="宋体"/>
          <w:color w:val="0D0D0D"/>
          <w:kern w:val="2"/>
          <w:sz w:val="28"/>
          <w:szCs w:val="28"/>
        </w:rPr>
      </w:pPr>
      <w:r>
        <w:rPr>
          <w:rFonts w:hint="eastAsia" w:ascii="宋体" w:hAnsi="宋体" w:eastAsia="宋体"/>
          <w:color w:val="0D0D0D"/>
          <w:kern w:val="2"/>
          <w:sz w:val="28"/>
          <w:szCs w:val="28"/>
        </w:rPr>
        <w:t>5. 浙江大学</w:t>
      </w:r>
    </w:p>
    <w:p>
      <w:pPr>
        <w:pStyle w:val="4"/>
        <w:widowControl/>
        <w:spacing w:beforeAutospacing="0" w:afterAutospacing="0" w:line="360" w:lineRule="auto"/>
        <w:rPr>
          <w:rFonts w:ascii="宋体" w:hAnsi="宋体" w:eastAsia="宋体"/>
          <w:color w:val="0D0D0D"/>
          <w:kern w:val="2"/>
          <w:sz w:val="28"/>
          <w:szCs w:val="28"/>
        </w:rPr>
      </w:pPr>
      <w:r>
        <w:rPr>
          <w:rFonts w:hint="eastAsia" w:ascii="宋体" w:hAnsi="宋体" w:eastAsia="宋体"/>
          <w:color w:val="0D0D0D"/>
          <w:kern w:val="2"/>
          <w:sz w:val="28"/>
          <w:szCs w:val="28"/>
        </w:rPr>
        <w:t xml:space="preserve">    对左旋薄荷醇及相关材料的安全性、有效性、可控性进行科学表征，参与本项目的立项、研制及实验室测试工作。</w:t>
      </w:r>
    </w:p>
    <w:p>
      <w:pPr>
        <w:pStyle w:val="4"/>
        <w:widowControl/>
        <w:spacing w:beforeAutospacing="0" w:afterAutospacing="0" w:line="360" w:lineRule="auto"/>
        <w:ind w:left="512" w:right="150" w:hanging="360"/>
        <w:rPr>
          <w:rFonts w:ascii="宋体" w:hAnsi="宋体" w:eastAsia="宋体"/>
          <w:color w:val="0D0D0D"/>
          <w:kern w:val="2"/>
          <w:sz w:val="28"/>
          <w:szCs w:val="28"/>
        </w:rPr>
      </w:pPr>
      <w:r>
        <w:rPr>
          <w:rFonts w:hint="eastAsia" w:ascii="宋体" w:hAnsi="宋体" w:eastAsia="宋体"/>
          <w:color w:val="0D0D0D"/>
          <w:kern w:val="2"/>
          <w:sz w:val="28"/>
          <w:szCs w:val="28"/>
        </w:rPr>
        <w:t>6. 北京科技大学</w:t>
      </w:r>
    </w:p>
    <w:p>
      <w:pPr>
        <w:pStyle w:val="4"/>
        <w:widowControl/>
        <w:spacing w:beforeAutospacing="0" w:afterAutospacing="0" w:line="360" w:lineRule="auto"/>
        <w:ind w:firstLine="560"/>
        <w:rPr>
          <w:rFonts w:ascii="宋体" w:hAnsi="宋体" w:eastAsia="宋体"/>
          <w:color w:val="0D0D0D"/>
          <w:kern w:val="2"/>
          <w:sz w:val="28"/>
          <w:szCs w:val="28"/>
        </w:rPr>
      </w:pPr>
      <w:r>
        <w:rPr>
          <w:rFonts w:hint="eastAsia" w:ascii="宋体" w:hAnsi="宋体" w:eastAsia="宋体"/>
          <w:color w:val="0D0D0D"/>
          <w:kern w:val="2"/>
          <w:sz w:val="28"/>
          <w:szCs w:val="28"/>
        </w:rPr>
        <w:t>遴选出现场提取材料原则，参与左旋薄荷醇及相关材料的安全性、有效性、可控性实验室表征。后期承担了本项目的工艺流程研究，协助开展科技成果推广应用工作。</w:t>
      </w:r>
    </w:p>
    <w:p>
      <w:pPr>
        <w:pStyle w:val="4"/>
        <w:widowControl/>
        <w:spacing w:beforeAutospacing="0" w:afterAutospacing="0" w:line="360" w:lineRule="auto"/>
        <w:ind w:right="150"/>
        <w:rPr>
          <w:rFonts w:ascii="宋体" w:hAnsi="宋体" w:eastAsia="宋体"/>
          <w:color w:val="0D0D0D"/>
          <w:kern w:val="2"/>
          <w:sz w:val="28"/>
          <w:szCs w:val="28"/>
        </w:rPr>
      </w:pPr>
      <w:r>
        <w:rPr>
          <w:rFonts w:hint="eastAsia" w:ascii="宋体" w:hAnsi="宋体" w:eastAsia="宋体"/>
          <w:color w:val="0D0D0D"/>
          <w:kern w:val="2"/>
          <w:sz w:val="28"/>
          <w:szCs w:val="28"/>
        </w:rPr>
        <w:t>7. 中国科学院上海高等研究院</w:t>
      </w:r>
    </w:p>
    <w:p>
      <w:pPr>
        <w:pStyle w:val="4"/>
        <w:widowControl/>
        <w:spacing w:beforeAutospacing="0" w:afterAutospacing="0" w:line="360" w:lineRule="auto"/>
        <w:rPr>
          <w:rFonts w:ascii="宋体" w:hAnsi="宋体" w:eastAsia="宋体"/>
          <w:color w:val="0D0D0D"/>
          <w:kern w:val="2"/>
          <w:sz w:val="28"/>
          <w:szCs w:val="28"/>
        </w:rPr>
      </w:pPr>
      <w:r>
        <w:rPr>
          <w:rFonts w:hint="eastAsia" w:ascii="宋体" w:hAnsi="宋体" w:eastAsia="宋体"/>
          <w:color w:val="0D0D0D"/>
          <w:kern w:val="2"/>
          <w:sz w:val="28"/>
          <w:szCs w:val="28"/>
        </w:rPr>
        <w:t xml:space="preserve">    前期参与本项目的立项、材料研制及实验室测试工作，负责左旋薄荷醇及相关材料的科学表征，对部分材料工艺进行研究。</w:t>
      </w:r>
    </w:p>
    <w:p>
      <w:pPr>
        <w:pStyle w:val="4"/>
        <w:widowControl/>
        <w:spacing w:beforeAutospacing="0" w:afterAutospacing="0" w:line="360" w:lineRule="auto"/>
        <w:ind w:firstLine="560"/>
        <w:rPr>
          <w:rFonts w:ascii="宋体" w:hAnsi="宋体" w:eastAsia="宋体"/>
          <w:color w:val="0D0D0D"/>
          <w:kern w:val="2"/>
          <w:sz w:val="28"/>
          <w:szCs w:val="28"/>
        </w:rPr>
      </w:pPr>
    </w:p>
    <w:p>
      <w:pPr>
        <w:pStyle w:val="4"/>
        <w:widowControl/>
        <w:spacing w:beforeAutospacing="0" w:afterAutospacing="0" w:line="360" w:lineRule="auto"/>
        <w:ind w:left="150" w:right="150"/>
        <w:rPr>
          <w:rFonts w:ascii="宋体" w:hAnsi="宋体" w:eastAsia="宋体"/>
          <w:b/>
          <w:color w:val="0D0D0D"/>
          <w:kern w:val="2"/>
          <w:sz w:val="28"/>
          <w:szCs w:val="28"/>
        </w:rPr>
      </w:pPr>
      <w:r>
        <w:rPr>
          <w:rFonts w:hint="eastAsia" w:ascii="宋体" w:hAnsi="宋体" w:eastAsia="宋体"/>
          <w:b/>
          <w:color w:val="0D0D0D"/>
          <w:kern w:val="2"/>
          <w:sz w:val="28"/>
          <w:szCs w:val="28"/>
        </w:rPr>
        <w:t>八、 完成人合作关系说明</w:t>
      </w:r>
    </w:p>
    <w:p>
      <w:pPr>
        <w:pStyle w:val="4"/>
        <w:widowControl/>
        <w:spacing w:beforeAutospacing="0" w:afterAutospacing="0"/>
        <w:rPr>
          <w:rFonts w:ascii="宋体" w:hAnsi="宋体" w:eastAsia="宋体"/>
          <w:color w:val="0D0D0D"/>
          <w:kern w:val="2"/>
          <w:sz w:val="28"/>
          <w:szCs w:val="28"/>
        </w:rPr>
      </w:pPr>
      <w:r>
        <w:rPr>
          <w:rFonts w:hint="eastAsia" w:ascii="宋体" w:hAnsi="宋体" w:eastAsia="宋体"/>
          <w:color w:val="0D0D0D"/>
          <w:kern w:val="2"/>
          <w:sz w:val="21"/>
          <w:szCs w:val="21"/>
        </w:rPr>
        <w:t xml:space="preserve"> </w:t>
      </w:r>
      <w:r>
        <w:rPr>
          <w:rFonts w:hint="eastAsia" w:ascii="宋体" w:hAnsi="宋体" w:eastAsia="宋体"/>
          <w:color w:val="0D0D0D"/>
          <w:kern w:val="2"/>
          <w:sz w:val="28"/>
          <w:szCs w:val="28"/>
        </w:rPr>
        <w:t xml:space="preserve">   在国家文物局领导与支持下，项目主要承担单位建立了创新联盟（见附件8），且联合承担了“十二五”国家科技支撑计划（见附件9）以及国家重点基础研究发展计划（973）（见附件10）等国家级重点课题，协同开展了临时加固可控去除技术的研究与应用工作、共同制定临时固型工艺技术规范、共同发表论文、共同申报知识产权以及共同申报国家文物局奖励。</w:t>
      </w:r>
    </w:p>
    <w:p>
      <w:pPr>
        <w:pStyle w:val="4"/>
        <w:widowControl/>
        <w:spacing w:beforeAutospacing="0" w:afterAutospacing="0"/>
        <w:rPr>
          <w:rFonts w:ascii="宋体" w:hAnsi="宋体" w:eastAsia="宋体" w:cs="宋体"/>
          <w:color w:val="333333"/>
          <w:sz w:val="28"/>
          <w:szCs w:val="28"/>
        </w:rPr>
      </w:pPr>
      <w:r>
        <w:rPr>
          <w:rFonts w:hint="eastAsia" w:ascii="宋体" w:hAnsi="宋体" w:eastAsia="宋体"/>
          <w:color w:val="0D0D0D"/>
          <w:kern w:val="2"/>
          <w:sz w:val="28"/>
          <w:szCs w:val="28"/>
        </w:rPr>
        <w:t xml:space="preserve">    项目负责人及成员成功组织实施了国家科技支撑计划课题“出土陶质彩绘文物保护关键技术研究”、“脆弱性硅酸盐质文化遗产保护与关键技术基础”项目，并通过产、学、研的结合，项目研究促进了文物科技保护与相关学科的交叉与融合，培养研究人才，形成了一支多学科联合攻关的文物保护科研队伍；提升了我国文物保护领域的科技创新能力，构建了互信良好的文物科技保护合作平台。项目组成员合作获得专利4项，发表论文14篇，著作1部，编制标准5项，获得省部级科技进步一等奖1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5B3"/>
    <w:multiLevelType w:val="multilevel"/>
    <w:tmpl w:val="0CC875B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FA4CD6"/>
    <w:multiLevelType w:val="multilevel"/>
    <w:tmpl w:val="0EFA4CD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1A4D89"/>
    <w:multiLevelType w:val="multilevel"/>
    <w:tmpl w:val="2E1A4D8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646E48"/>
    <w:multiLevelType w:val="singleLevel"/>
    <w:tmpl w:val="58646E48"/>
    <w:lvl w:ilvl="0" w:tentative="0">
      <w:start w:val="3"/>
      <w:numFmt w:val="chineseCounting"/>
      <w:suff w:val="nothing"/>
      <w:lvlText w:val="（%1）"/>
      <w:lvlJc w:val="left"/>
    </w:lvl>
  </w:abstractNum>
  <w:abstractNum w:abstractNumId="4">
    <w:nsid w:val="58646E73"/>
    <w:multiLevelType w:val="singleLevel"/>
    <w:tmpl w:val="58646E73"/>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77BD0"/>
    <w:rsid w:val="000A03FF"/>
    <w:rsid w:val="00195D28"/>
    <w:rsid w:val="00B93595"/>
    <w:rsid w:val="00E466EE"/>
    <w:rsid w:val="00FA1E4E"/>
    <w:rsid w:val="02877BD0"/>
    <w:rsid w:val="18222BFB"/>
    <w:rsid w:val="5A3D3C5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
    <w:name w:val="页眉 Char"/>
    <w:basedOn w:val="5"/>
    <w:link w:val="3"/>
    <w:uiPriority w:val="0"/>
    <w:rPr>
      <w:kern w:val="2"/>
      <w:sz w:val="18"/>
      <w:szCs w:val="18"/>
    </w:rPr>
  </w:style>
  <w:style w:type="character" w:customStyle="1" w:styleId="9">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1379</Words>
  <Characters>7865</Characters>
  <Lines>65</Lines>
  <Paragraphs>18</Paragraphs>
  <TotalTime>0</TotalTime>
  <ScaleCrop>false</ScaleCrop>
  <LinksUpToDate>false</LinksUpToDate>
  <CharactersWithSpaces>9226</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2016-12-31T02:30:00Z</dcterms:created>
  <dc:creator>Lenovo</dc:creator>
  <cp:lastModifiedBy>Administrator</cp:lastModifiedBy>
  <dcterms:modified xsi:type="dcterms:W3CDTF">2017-01-03T05:56:25Z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